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21046C0B" w14:textId="5975FA96" w:rsidR="00C01458" w:rsidRPr="00A50100" w:rsidRDefault="00C01458" w:rsidP="00C01458">
      <w:pPr>
        <w:pStyle w:val="Title"/>
        <w:spacing w:line="276" w:lineRule="auto"/>
        <w:ind w:left="0" w:right="-8"/>
        <w:rPr>
          <w:b w:val="0"/>
          <w:bCs w:val="0"/>
          <w:color w:val="0061A9"/>
          <w:sz w:val="32"/>
          <w:szCs w:val="32"/>
          <w:lang w:val="el-GR"/>
        </w:rPr>
      </w:pPr>
      <w:r w:rsidRPr="01B7523B">
        <w:rPr>
          <w:color w:val="0061A9"/>
          <w:sz w:val="32"/>
          <w:szCs w:val="32"/>
          <w:lang w:val="el-GR"/>
        </w:rPr>
        <w:t>Παραδοτέο Π.3.</w:t>
      </w:r>
      <w:r w:rsidR="00F52653">
        <w:rPr>
          <w:color w:val="0061A9"/>
          <w:sz w:val="32"/>
          <w:szCs w:val="32"/>
          <w:lang w:val="el-GR"/>
        </w:rPr>
        <w:t>4</w:t>
      </w:r>
      <w:r w:rsidRPr="01B7523B">
        <w:rPr>
          <w:color w:val="0061A9"/>
          <w:sz w:val="32"/>
          <w:szCs w:val="32"/>
          <w:lang w:val="el-GR"/>
        </w:rPr>
        <w:t>.</w:t>
      </w:r>
      <w:r w:rsidR="00F52653">
        <w:rPr>
          <w:color w:val="0061A9"/>
          <w:sz w:val="32"/>
          <w:szCs w:val="32"/>
          <w:lang w:val="el-GR"/>
        </w:rPr>
        <w:t>4</w:t>
      </w:r>
      <w:r w:rsidRPr="01B7523B">
        <w:rPr>
          <w:color w:val="0061A9"/>
          <w:sz w:val="32"/>
          <w:szCs w:val="32"/>
          <w:lang w:val="el-GR"/>
        </w:rPr>
        <w:t xml:space="preserve">: </w:t>
      </w:r>
      <w:r w:rsidR="00F52653" w:rsidRPr="00F52653">
        <w:rPr>
          <w:b w:val="0"/>
          <w:bCs w:val="0"/>
          <w:color w:val="0061A9"/>
          <w:sz w:val="32"/>
          <w:szCs w:val="32"/>
          <w:lang w:val="el-GR"/>
        </w:rPr>
        <w:t>Αποτελεσματικότητα μεταβολιτών, πεπτιδίων και μικροβιακών εμβολίων έναντι εχθρών της τομάτας</w:t>
      </w: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58ECC669" w:rsidR="00C01458" w:rsidRPr="00E26175" w:rsidRDefault="00C01458" w:rsidP="00C01458">
      <w:pPr>
        <w:spacing w:after="60"/>
        <w:jc w:val="both"/>
        <w:rPr>
          <w:b/>
          <w:bCs/>
          <w:color w:val="808080"/>
          <w:lang w:val="en-US"/>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00E26175" w:rsidRPr="00E26175">
        <w:rPr>
          <w:b/>
          <w:bCs/>
          <w:color w:val="808080"/>
          <w:lang w:val="el-GR"/>
        </w:rPr>
        <w:t>4</w:t>
      </w:r>
      <w:r>
        <w:rPr>
          <w:b/>
          <w:bCs/>
          <w:color w:val="808080"/>
          <w:lang w:val="el-GR"/>
        </w:rPr>
        <w:t>.</w:t>
      </w:r>
      <w:r w:rsidR="00E26175">
        <w:rPr>
          <w:b/>
          <w:bCs/>
          <w:color w:val="808080"/>
          <w:lang w:val="en-US"/>
        </w:rPr>
        <w:t>4</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267B442D"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ΔΠΘ</w:t>
      </w:r>
    </w:p>
    <w:p w14:paraId="546BCEB9" w14:textId="405CF003" w:rsidR="00C01458" w:rsidRPr="00E36B37" w:rsidRDefault="00C01458" w:rsidP="00C01458">
      <w:pPr>
        <w:spacing w:after="60"/>
        <w:jc w:val="both"/>
        <w:rPr>
          <w:b/>
          <w:bCs/>
          <w:color w:val="808080"/>
          <w:lang w:val="el-GR"/>
        </w:rPr>
      </w:pPr>
      <w:r w:rsidRPr="00A50100">
        <w:rPr>
          <w:color w:val="808080"/>
          <w:lang w:val="el-GR"/>
        </w:rPr>
        <w:t xml:space="preserve">Συγγραφείς: </w:t>
      </w:r>
      <w:r w:rsidR="001733C7">
        <w:rPr>
          <w:b/>
          <w:bCs/>
          <w:color w:val="808080"/>
          <w:lang w:val="el-GR"/>
        </w:rPr>
        <w:t>Μαρία Παππά</w:t>
      </w:r>
    </w:p>
    <w:p w14:paraId="46E67D6D" w14:textId="4C9410FB" w:rsidR="00C01458" w:rsidRPr="00A50100"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1733C7">
        <w:rPr>
          <w:b/>
          <w:bCs/>
          <w:color w:val="808080"/>
          <w:lang w:val="el-GR"/>
        </w:rPr>
        <w:t>0</w:t>
      </w:r>
    </w:p>
    <w:p w14:paraId="13669FDC" w14:textId="5A748B78"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w:t>
      </w:r>
      <w:r w:rsidR="001733C7">
        <w:rPr>
          <w:b/>
          <w:bCs/>
          <w:color w:val="808080"/>
          <w:lang w:val="el-GR"/>
        </w:rPr>
        <w:t>η</w:t>
      </w:r>
    </w:p>
    <w:p w14:paraId="630F658E" w14:textId="55538DCF" w:rsidR="00C01458" w:rsidRPr="00A50100" w:rsidRDefault="00C01458" w:rsidP="00C01458">
      <w:pPr>
        <w:spacing w:after="60"/>
        <w:jc w:val="both"/>
        <w:rPr>
          <w:color w:val="808080"/>
          <w:lang w:val="el-GR"/>
        </w:rPr>
      </w:pPr>
      <w:r w:rsidRPr="00A50100">
        <w:rPr>
          <w:color w:val="808080"/>
          <w:lang w:val="el-GR"/>
        </w:rPr>
        <w:t xml:space="preserve">Ημερομηνία παράδοσης: </w:t>
      </w:r>
      <w:r w:rsidR="001733C7">
        <w:rPr>
          <w:b/>
          <w:bCs/>
          <w:color w:val="808080"/>
          <w:lang w:val="el-GR"/>
        </w:rPr>
        <w:t>2</w:t>
      </w:r>
      <w:r w:rsidR="00566AAE">
        <w:rPr>
          <w:b/>
          <w:bCs/>
          <w:color w:val="808080"/>
          <w:lang w:val="el-GR"/>
        </w:rPr>
        <w:t>9</w:t>
      </w:r>
      <w:r w:rsidRPr="00A50100">
        <w:rPr>
          <w:b/>
          <w:bCs/>
          <w:color w:val="808080"/>
          <w:lang w:val="el-GR"/>
        </w:rPr>
        <w:t xml:space="preserve"> </w:t>
      </w:r>
      <w:r w:rsidR="001733C7">
        <w:rPr>
          <w:b/>
          <w:bCs/>
          <w:color w:val="808080"/>
          <w:lang w:val="el-GR"/>
        </w:rPr>
        <w:t>Δεκεμβρίου 2025</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Ακρωνύμιο έργου: InnoPP</w:t>
      </w:r>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213B2F">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Content>
        <w:p w14:paraId="3673A019" w14:textId="1B6AD36A" w:rsidR="000D1DC4" w:rsidRPr="001A20CD" w:rsidRDefault="00C01458"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90054C">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04E63AE3"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Hyperlink"/>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ΠΕΡΙΓΡΑΦΗ ΤΩΝ ΕΡΓΑΣΙΩΝ</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_Toc184738477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90054C">
              <w:rPr>
                <w:rFonts w:ascii="Verdana" w:hAnsi="Verdana"/>
                <w:noProof/>
                <w:webHidden/>
                <w:sz w:val="24"/>
                <w:szCs w:val="24"/>
              </w:rPr>
              <w:t>5</w:t>
            </w:r>
            <w:r w:rsidRPr="001A20CD">
              <w:rPr>
                <w:rFonts w:ascii="Verdana" w:hAnsi="Verdana"/>
                <w:noProof/>
                <w:webHidden/>
                <w:sz w:val="24"/>
                <w:szCs w:val="24"/>
              </w:rPr>
              <w:fldChar w:fldCharType="end"/>
            </w:r>
          </w:hyperlink>
        </w:p>
        <w:p w14:paraId="64820979" w14:textId="00568655"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Hyperlink"/>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_Toc184738478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90054C">
              <w:rPr>
                <w:rFonts w:ascii="Verdana" w:hAnsi="Verdana"/>
                <w:noProof/>
                <w:webHidden/>
                <w:sz w:val="22"/>
                <w:szCs w:val="22"/>
              </w:rPr>
              <w:t>5</w:t>
            </w:r>
            <w:r w:rsidRPr="001A20CD">
              <w:rPr>
                <w:rFonts w:ascii="Verdana" w:hAnsi="Verdana"/>
                <w:noProof/>
                <w:webHidden/>
                <w:sz w:val="22"/>
                <w:szCs w:val="22"/>
              </w:rPr>
              <w:fldChar w:fldCharType="end"/>
            </w:r>
          </w:hyperlink>
        </w:p>
        <w:p w14:paraId="6BB25BEB" w14:textId="58FD98EC"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Pr="001A20CD">
              <w:rPr>
                <w:rStyle w:val="Hyperlink"/>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Pr="001A20CD">
              <w:rPr>
                <w:rStyle w:val="Hyperlink"/>
                <w:rFonts w:ascii="Verdana" w:hAnsi="Verdana"/>
                <w:noProof/>
                <w:sz w:val="22"/>
                <w:szCs w:val="22"/>
              </w:rPr>
              <w:t>αποτελέσματα και συζήτηση</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_Toc184738479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90054C">
              <w:rPr>
                <w:rFonts w:ascii="Verdana" w:hAnsi="Verdana"/>
                <w:noProof/>
                <w:webHidden/>
                <w:sz w:val="22"/>
                <w:szCs w:val="22"/>
              </w:rPr>
              <w:t>5</w:t>
            </w:r>
            <w:r w:rsidRPr="001A20CD">
              <w:rPr>
                <w:rFonts w:ascii="Verdana" w:hAnsi="Verdana"/>
                <w:noProof/>
                <w:webHidden/>
                <w:sz w:val="22"/>
                <w:szCs w:val="22"/>
              </w:rPr>
              <w:fldChar w:fldCharType="end"/>
            </w:r>
          </w:hyperlink>
        </w:p>
        <w:p w14:paraId="347D34F7" w14:textId="23557D70"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Pr="001A20CD">
              <w:rPr>
                <w:rStyle w:val="Hyperlink"/>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ΣΥΝΟΨΗ ΚΑΙ ΣΥΜΠΕΡΑΣΜΑΤΑ</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_Toc184738480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90054C">
              <w:rPr>
                <w:rFonts w:ascii="Verdana" w:hAnsi="Verdana"/>
                <w:noProof/>
                <w:webHidden/>
                <w:sz w:val="24"/>
                <w:szCs w:val="24"/>
              </w:rPr>
              <w:t>11</w:t>
            </w:r>
            <w:r w:rsidRPr="001A20CD">
              <w:rPr>
                <w:rFonts w:ascii="Verdana" w:hAnsi="Verdana"/>
                <w:noProof/>
                <w:webHidden/>
                <w:sz w:val="24"/>
                <w:szCs w:val="24"/>
              </w:rPr>
              <w:fldChar w:fldCharType="end"/>
            </w:r>
          </w:hyperlink>
        </w:p>
        <w:p w14:paraId="4265C577" w14:textId="782B394A"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Pr="001A20CD">
              <w:rPr>
                <w:rStyle w:val="Hyperlink"/>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ΠΑΡΑΡΤΗΜΑ Ι-</w:t>
            </w:r>
            <w:r w:rsidRPr="001A20CD">
              <w:rPr>
                <w:rStyle w:val="Hyperlink"/>
                <w:rFonts w:ascii="Verdana" w:hAnsi="Verdana"/>
                <w:caps w:val="0"/>
                <w:noProof/>
                <w:sz w:val="24"/>
                <w:szCs w:val="24"/>
                <w:lang w:val="el-GR"/>
              </w:rPr>
              <w:t xml:space="preserve"> </w:t>
            </w:r>
            <w:r w:rsidRPr="007D72AD">
              <w:rPr>
                <w:rStyle w:val="Hyperlink"/>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_Toc184738481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90054C">
              <w:rPr>
                <w:rFonts w:ascii="Verdana" w:hAnsi="Verdana"/>
                <w:noProof/>
                <w:webHidden/>
                <w:sz w:val="24"/>
                <w:szCs w:val="24"/>
              </w:rPr>
              <w:t>12</w:t>
            </w:r>
            <w:r w:rsidRPr="001A20CD">
              <w:rPr>
                <w:rFonts w:ascii="Verdana" w:hAnsi="Verdana"/>
                <w:noProof/>
                <w:webHidden/>
                <w:sz w:val="24"/>
                <w:szCs w:val="24"/>
              </w:rPr>
              <w:fldChar w:fldCharType="end"/>
            </w:r>
          </w:hyperlink>
        </w:p>
        <w:p w14:paraId="5C12865E" w14:textId="1C3BFDAA"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00ED7BBC" w:rsidRP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27F93250"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GR"/>
        </w:rPr>
        <w:t>Οι δραστηριότητες της ΕΕ3 περιλαμβάνουν τις βιοδοκιμές αποτελεσματικότητας και τη βελτίωση και ανάπτυξη καινοτόμων μεθόδων και προϊόντων. Κύριες δράσεις της ΕΕ3 περιλαμβάνουν α</w:t>
      </w:r>
      <w:r w:rsidRPr="58DCA531">
        <w:rPr>
          <w:rFonts w:cs="Times New Roman"/>
          <w:lang w:val="el"/>
        </w:rPr>
        <w:t xml:space="preserve">νάπτυξη και αξιολόγηση καινοτόμων βιοφυτοπροστατευτικών προιόντων, όπως </w:t>
      </w:r>
    </w:p>
    <w:p w14:paraId="1E0BEDB9"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GR"/>
        </w:rPr>
        <w:t xml:space="preserve">- βιοδραστικά μορία ανάπτυξης αντοχής στα φυτά (πεπτίδια, μεταβολίτες), </w:t>
      </w:r>
    </w:p>
    <w:p w14:paraId="4AAB90B2"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φυτοπροστατευτικά φυσικής προέλευσης (εκχυλίσματα, μικροβιακοί μεταβολίτες, «</w:t>
      </w:r>
      <w:r w:rsidRPr="58DCA531">
        <w:rPr>
          <w:rFonts w:cs="Times New Roman"/>
          <w:lang w:val="en-US"/>
        </w:rPr>
        <w:t>green</w:t>
      </w:r>
      <w:r w:rsidRPr="58DCA531">
        <w:rPr>
          <w:rFonts w:cs="Times New Roman"/>
          <w:lang w:val="el"/>
        </w:rPr>
        <w:t xml:space="preserve">»),  </w:t>
      </w:r>
    </w:p>
    <w:p w14:paraId="32DAE93C"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νέας γενιάς ελκυστικά και απωθητικά (παγίδες, παρεμπόδιση σύζευξης),</w:t>
      </w:r>
    </w:p>
    <w:p w14:paraId="13328435"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14:paraId="14069DD4" w14:textId="414D7651" w:rsidR="00C01458" w:rsidRDefault="58DCA531" w:rsidP="00C01458">
      <w:pPr>
        <w:spacing w:line="276" w:lineRule="auto"/>
        <w:jc w:val="both"/>
        <w:rPr>
          <w:rFonts w:cs="Times New Roman"/>
          <w:lang w:val="el-GR"/>
        </w:rPr>
      </w:pPr>
      <w:r w:rsidRPr="58DCA531">
        <w:rPr>
          <w:rFonts w:cs="Times New Roman"/>
          <w:lang w:val="el-GR"/>
        </w:rPr>
        <w:t xml:space="preserve">Για τα πιο αποτελεσματικά καινοτόμα βιοφυτοπροστατευτικά, </w:t>
      </w:r>
      <w:r w:rsidR="0059355F">
        <w:rPr>
          <w:rFonts w:cs="Times New Roman"/>
          <w:lang w:val="el-GR"/>
        </w:rPr>
        <w:t>μελετώνται</w:t>
      </w:r>
      <w:r w:rsidRPr="58DCA531">
        <w:rPr>
          <w:rFonts w:cs="Times New Roman"/>
          <w:lang w:val="el-GR"/>
        </w:rPr>
        <w:t xml:space="preserve"> και οι επιπτώσεις τους σε οργανισμούς μη στόχους (φυσικοί εχθροί, επικονιαστές, υδρόβιοι οργανισμοί, κυτταροκαλλιέργειες θηλαστικών).</w:t>
      </w:r>
    </w:p>
    <w:p w14:paraId="5CE186CF" w14:textId="77777777" w:rsidR="00C01458" w:rsidRPr="00E630FD" w:rsidRDefault="00C01458" w:rsidP="00C01458">
      <w:pPr>
        <w:spacing w:line="276" w:lineRule="auto"/>
        <w:jc w:val="both"/>
        <w:rPr>
          <w:color w:val="000000"/>
          <w:sz w:val="16"/>
          <w:szCs w:val="16"/>
          <w:lang w:val="el-GR"/>
        </w:rPr>
      </w:pPr>
    </w:p>
    <w:p w14:paraId="5DFB1BA6" w14:textId="68BE03AF" w:rsidR="00845280" w:rsidRPr="008C5218" w:rsidRDefault="58DCA531" w:rsidP="58DCA531">
      <w:pPr>
        <w:pBdr>
          <w:top w:val="nil"/>
          <w:left w:val="nil"/>
          <w:bottom w:val="nil"/>
          <w:right w:val="nil"/>
          <w:between w:val="nil"/>
        </w:pBdr>
        <w:spacing w:after="120" w:line="276" w:lineRule="auto"/>
        <w:jc w:val="both"/>
        <w:rPr>
          <w:color w:val="000000"/>
          <w:lang w:val="el-GR"/>
        </w:rPr>
      </w:pPr>
      <w:r w:rsidRPr="008A2711">
        <w:rPr>
          <w:b/>
          <w:bCs/>
          <w:color w:val="0061A9"/>
          <w:sz w:val="28"/>
          <w:szCs w:val="28"/>
          <w:lang w:val="el-GR"/>
        </w:rPr>
        <w:t>Συνοπτική παρουσίαση του παραδοτέου Π3.</w:t>
      </w:r>
      <w:r w:rsidR="005441C2">
        <w:rPr>
          <w:b/>
          <w:bCs/>
          <w:color w:val="0061A9"/>
          <w:sz w:val="28"/>
          <w:szCs w:val="28"/>
          <w:lang w:val="el-GR"/>
        </w:rPr>
        <w:t>4</w:t>
      </w:r>
      <w:r w:rsidRPr="008A2711">
        <w:rPr>
          <w:b/>
          <w:bCs/>
          <w:color w:val="0061A9"/>
          <w:sz w:val="28"/>
          <w:szCs w:val="28"/>
          <w:lang w:val="el-GR"/>
        </w:rPr>
        <w:t>.</w:t>
      </w:r>
      <w:r w:rsidR="005441C2">
        <w:rPr>
          <w:b/>
          <w:bCs/>
          <w:color w:val="0061A9"/>
          <w:sz w:val="28"/>
          <w:szCs w:val="28"/>
          <w:lang w:val="el-GR"/>
        </w:rPr>
        <w:t>4</w:t>
      </w:r>
    </w:p>
    <w:p w14:paraId="6863AC0C" w14:textId="6877F156" w:rsidR="004D4974" w:rsidRPr="00884FB5" w:rsidRDefault="0059355F" w:rsidP="0059355F">
      <w:pPr>
        <w:spacing w:after="120" w:line="276" w:lineRule="auto"/>
        <w:jc w:val="both"/>
        <w:rPr>
          <w:color w:val="000000" w:themeColor="text1"/>
          <w:lang w:val="el-GR"/>
        </w:rPr>
      </w:pPr>
      <w:r w:rsidRPr="004D4974">
        <w:rPr>
          <w:color w:val="000000" w:themeColor="text1"/>
          <w:lang w:val="el-GR"/>
        </w:rPr>
        <w:t>Το παραδοτέο Π3.</w:t>
      </w:r>
      <w:r w:rsidR="006F774B">
        <w:rPr>
          <w:color w:val="000000" w:themeColor="text1"/>
          <w:lang w:val="el-GR"/>
        </w:rPr>
        <w:t>4</w:t>
      </w:r>
      <w:r w:rsidRPr="004D4974">
        <w:rPr>
          <w:color w:val="000000" w:themeColor="text1"/>
          <w:lang w:val="el-GR"/>
        </w:rPr>
        <w:t>.</w:t>
      </w:r>
      <w:r w:rsidR="006F774B">
        <w:rPr>
          <w:color w:val="000000" w:themeColor="text1"/>
          <w:lang w:val="el-GR"/>
        </w:rPr>
        <w:t>4</w:t>
      </w:r>
      <w:r w:rsidRPr="004D4974">
        <w:rPr>
          <w:color w:val="000000" w:themeColor="text1"/>
          <w:lang w:val="el-GR"/>
        </w:rPr>
        <w:t xml:space="preserve"> αποσκοπεί στην παρουσίαση των αποτελεσμάτων έρευνας που εστιάζει στη μελέτη της </w:t>
      </w:r>
      <w:r w:rsidRPr="006F774B">
        <w:rPr>
          <w:color w:val="000000" w:themeColor="text1"/>
          <w:lang w:val="el-GR"/>
        </w:rPr>
        <w:t xml:space="preserve">αποτελεσματικότητας </w:t>
      </w:r>
      <w:r w:rsidR="006F774B" w:rsidRPr="006F774B">
        <w:rPr>
          <w:bCs/>
          <w:szCs w:val="28"/>
          <w:lang w:val="el-GR"/>
        </w:rPr>
        <w:t>βιοδραστικών μορίων που έχουν πρόσφατα εντοπιστεί από την ομάδα του έργου, μέσω μελέτης μοριακών αλληλεπιδράσεων, έναντι φυτοφάγων εχθρών της τομάτας.</w:t>
      </w:r>
    </w:p>
    <w:p w14:paraId="126A20A1" w14:textId="592DDFD8" w:rsidR="0059355F" w:rsidRDefault="0059355F" w:rsidP="0059355F">
      <w:pPr>
        <w:spacing w:after="120" w:line="276" w:lineRule="auto"/>
        <w:jc w:val="both"/>
        <w:rPr>
          <w:color w:val="000000"/>
          <w:lang w:val="el-GR"/>
        </w:rPr>
      </w:pPr>
      <w:r w:rsidRPr="00884FB5">
        <w:rPr>
          <w:color w:val="000000"/>
          <w:lang w:val="el-GR"/>
        </w:rPr>
        <w:t>Τα σημαντικότερα αποτελέσματα περιλαμβάνουν τ</w:t>
      </w:r>
      <w:r w:rsidR="004D4974" w:rsidRPr="00884FB5">
        <w:rPr>
          <w:color w:val="000000"/>
          <w:lang w:val="el-GR"/>
        </w:rPr>
        <w:t xml:space="preserve">ον εντοπισμό υποσχόμενων </w:t>
      </w:r>
      <w:r w:rsidR="006F774B">
        <w:rPr>
          <w:color w:val="000000"/>
          <w:lang w:val="el-GR"/>
        </w:rPr>
        <w:t>μεταβολιτών, πεπτιδίων και μικροοργανισμών</w:t>
      </w:r>
      <w:r w:rsidR="004D4974" w:rsidRPr="00884FB5">
        <w:rPr>
          <w:color w:val="000000"/>
          <w:lang w:val="el-GR"/>
        </w:rPr>
        <w:t xml:space="preserve"> έναντι σημαντικών εχθρών της καλλιέργειας, όπως ο τετράνυχος </w:t>
      </w:r>
      <w:r w:rsidR="004D4974" w:rsidRPr="00884FB5">
        <w:rPr>
          <w:i/>
          <w:color w:val="000000"/>
          <w:lang w:val="en-US"/>
        </w:rPr>
        <w:t>Tetranychus</w:t>
      </w:r>
      <w:r w:rsidR="004D4974" w:rsidRPr="00884FB5">
        <w:rPr>
          <w:i/>
          <w:color w:val="000000"/>
          <w:lang w:val="el-GR"/>
        </w:rPr>
        <w:t xml:space="preserve"> </w:t>
      </w:r>
      <w:r w:rsidR="004D4974" w:rsidRPr="00884FB5">
        <w:rPr>
          <w:i/>
          <w:color w:val="000000"/>
          <w:lang w:val="en-US"/>
        </w:rPr>
        <w:t>urticae</w:t>
      </w:r>
      <w:r w:rsidR="004D4974" w:rsidRPr="00884FB5">
        <w:rPr>
          <w:color w:val="000000"/>
          <w:lang w:val="el-GR"/>
        </w:rPr>
        <w:t xml:space="preserve">, ο αλευρώδης </w:t>
      </w:r>
      <w:r w:rsidR="004D4974" w:rsidRPr="00884FB5">
        <w:rPr>
          <w:i/>
          <w:color w:val="000000"/>
          <w:lang w:val="en-US"/>
        </w:rPr>
        <w:t>Bemisia</w:t>
      </w:r>
      <w:r w:rsidR="004D4974" w:rsidRPr="00884FB5">
        <w:rPr>
          <w:i/>
          <w:color w:val="000000"/>
          <w:lang w:val="el-GR"/>
        </w:rPr>
        <w:t xml:space="preserve"> </w:t>
      </w:r>
      <w:r w:rsidR="004D4974" w:rsidRPr="00884FB5">
        <w:rPr>
          <w:i/>
          <w:color w:val="000000"/>
          <w:lang w:val="en-US"/>
        </w:rPr>
        <w:t>tabaci</w:t>
      </w:r>
      <w:r w:rsidR="004D4974" w:rsidRPr="00884FB5">
        <w:rPr>
          <w:color w:val="000000"/>
          <w:lang w:val="el-GR"/>
        </w:rPr>
        <w:t xml:space="preserve">, και το </w:t>
      </w:r>
      <w:r w:rsidR="006F774B">
        <w:rPr>
          <w:color w:val="000000"/>
          <w:lang w:val="el-GR"/>
        </w:rPr>
        <w:t xml:space="preserve">Λεπιδόπτερο </w:t>
      </w:r>
      <w:r w:rsidR="004D4974" w:rsidRPr="00884FB5">
        <w:rPr>
          <w:i/>
          <w:color w:val="000000"/>
          <w:lang w:val="en-US"/>
        </w:rPr>
        <w:t>Tuta</w:t>
      </w:r>
      <w:r w:rsidR="004D4974" w:rsidRPr="00884FB5">
        <w:rPr>
          <w:i/>
          <w:color w:val="000000"/>
          <w:lang w:val="el-GR"/>
        </w:rPr>
        <w:t xml:space="preserve"> </w:t>
      </w:r>
      <w:r w:rsidR="004D4974" w:rsidRPr="00884FB5">
        <w:rPr>
          <w:i/>
          <w:color w:val="000000"/>
          <w:lang w:val="en-US"/>
        </w:rPr>
        <w:t>absoluta</w:t>
      </w:r>
      <w:r w:rsidR="004D4974" w:rsidRPr="00884FB5">
        <w:rPr>
          <w:color w:val="000000"/>
          <w:lang w:val="el-GR"/>
        </w:rPr>
        <w:t>.</w:t>
      </w:r>
    </w:p>
    <w:p w14:paraId="458651ED" w14:textId="625773AF" w:rsidR="00C740CE" w:rsidRPr="001124CA" w:rsidRDefault="00C740CE" w:rsidP="58DCA531">
      <w:pPr>
        <w:spacing w:after="60" w:line="276" w:lineRule="auto"/>
        <w:jc w:val="both"/>
        <w:rPr>
          <w:color w:val="000000"/>
          <w:lang w:val="el-GR"/>
        </w:rPr>
      </w:pPr>
      <w:r w:rsidRPr="58DCA531">
        <w:rPr>
          <w:color w:val="000000" w:themeColor="text1"/>
          <w:lang w:val="el-GR"/>
        </w:rPr>
        <w:br w:type="page"/>
      </w: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0" w:name="_Toc184738476"/>
      <w:r w:rsidRPr="00A50100">
        <w:rPr>
          <w:lang w:val="el-GR"/>
        </w:rPr>
        <w:lastRenderedPageBreak/>
        <w:t>ΕΙΣΑΓΩΓΗ ΚΑΙ ΣΤΟΧΟΙ</w:t>
      </w:r>
      <w:bookmarkEnd w:id="0"/>
    </w:p>
    <w:p w14:paraId="18831EF0" w14:textId="77777777" w:rsidR="00844358" w:rsidRPr="00844358" w:rsidRDefault="00844358" w:rsidP="00844358">
      <w:pPr>
        <w:spacing w:after="120" w:line="276" w:lineRule="auto"/>
        <w:jc w:val="both"/>
        <w:rPr>
          <w:iCs/>
          <w:lang w:val="el-GR"/>
        </w:rPr>
      </w:pPr>
      <w:r w:rsidRPr="00844358">
        <w:rPr>
          <w:iCs/>
          <w:lang w:val="el-GR"/>
        </w:rPr>
        <w:t xml:space="preserve">Η τομάτα αποτελεί μία από τις πλέον σημαντικές καλλιέργειες παγκοσμίως, ωστόσο προσβάλλεται από πλήθος φυτοφάγων εχθρών που μπορούν να προκαλέσουν σοβαρές απώλειες στην παραγωγή. Μεταξύ των σημαντικότερων συγκαταλέγονται ο τετράνυχος </w:t>
      </w:r>
      <w:r w:rsidRPr="00802C21">
        <w:rPr>
          <w:i/>
          <w:iCs/>
          <w:lang w:val="el-GR"/>
        </w:rPr>
        <w:t>Tetranychus urticae</w:t>
      </w:r>
      <w:r w:rsidRPr="00844358">
        <w:rPr>
          <w:iCs/>
          <w:lang w:val="el-GR"/>
        </w:rPr>
        <w:t xml:space="preserve">, ο αλευρώδης </w:t>
      </w:r>
      <w:r w:rsidRPr="00802C21">
        <w:rPr>
          <w:i/>
          <w:iCs/>
          <w:lang w:val="el-GR"/>
        </w:rPr>
        <w:t>Bemisia tabaci</w:t>
      </w:r>
      <w:r w:rsidRPr="00844358">
        <w:rPr>
          <w:iCs/>
          <w:lang w:val="el-GR"/>
        </w:rPr>
        <w:t xml:space="preserve"> και το Λεπιδόπτερο </w:t>
      </w:r>
      <w:r w:rsidRPr="00802C21">
        <w:rPr>
          <w:i/>
          <w:iCs/>
          <w:lang w:val="el-GR"/>
        </w:rPr>
        <w:t>Tuta absoluta</w:t>
      </w:r>
      <w:r w:rsidRPr="00844358">
        <w:rPr>
          <w:iCs/>
          <w:lang w:val="el-GR"/>
        </w:rPr>
        <w:t>, είδη με υψηλή αναπαραγωγική ικανότητα και ευρεία προσαρμοστικότητα σε διαφορετικά περιβάλλοντα (Desneux et al., 2010, Van Leeuwen et al., 2010). Η αντιμετώπισή τους βασίζεται κυρίως στη χρήση χημικών φυτοπροστατευτικών προϊόντων, η εκτεταμένη όμως και συχνά επαναλαμβανόμενη χρήση τους έχει οδηγήσει στην ανάπτυξη ανθεκτικότητας στους πληθυσμούς των εχθρών (Sparks &amp; Nauen, 2015, van Lenteren, 2012).</w:t>
      </w:r>
    </w:p>
    <w:p w14:paraId="7946A3B1" w14:textId="143D0AF3" w:rsidR="00844358" w:rsidRPr="00844358" w:rsidRDefault="00844358" w:rsidP="00844358">
      <w:pPr>
        <w:spacing w:after="120" w:line="276" w:lineRule="auto"/>
        <w:jc w:val="both"/>
        <w:rPr>
          <w:iCs/>
          <w:lang w:val="el-GR"/>
        </w:rPr>
      </w:pPr>
      <w:r w:rsidRPr="00844358">
        <w:rPr>
          <w:iCs/>
          <w:lang w:val="el-GR"/>
        </w:rPr>
        <w:t>Η ανάγκη για εναλλακτικές, βιώσιμες στρατηγικές φυτοπροστασίας στο πλαίσιο της ολοκληρωμένης διαχείρισης εχθρών (IPM) έχει οδηγήσει σε αυξημένο ενδιαφέρον για προσεγγίσεις που βασίζονται στην ενίσχυση της άμυνας των φυτών. Τέτοιες προσεγγίσεις περιλαμβάνουν τη χρήση βιοδραστικών μορίων και ωφέλιμων μικροοργανισμών, οι οποίοι μπορούν να επάγουν αμυντικές αποκρίσεις και να επηρεάσουν αρνητικά σημαντικές βιολογικές παραμέτρους των φυτοφάγων, όπως η ωοπαραγωγή, η επιβίωση και η ανάπτυξη (Howe &amp; Jander, 2008</w:t>
      </w:r>
      <w:r w:rsidR="00C8497B">
        <w:rPr>
          <w:iCs/>
          <w:lang w:val="el-GR"/>
        </w:rPr>
        <w:t xml:space="preserve">, </w:t>
      </w:r>
      <w:r w:rsidR="008D6BCA">
        <w:rPr>
          <w:iCs/>
          <w:lang w:val="en-US"/>
        </w:rPr>
        <w:t>Pastor</w:t>
      </w:r>
      <w:r w:rsidR="008D6BCA" w:rsidRPr="008D6BCA">
        <w:rPr>
          <w:iCs/>
          <w:lang w:val="el-GR"/>
        </w:rPr>
        <w:t xml:space="preserve"> </w:t>
      </w:r>
      <w:r w:rsidR="008D6BCA">
        <w:rPr>
          <w:iCs/>
          <w:lang w:val="en-US"/>
        </w:rPr>
        <w:t>et</w:t>
      </w:r>
      <w:r w:rsidR="008D6BCA" w:rsidRPr="008D6BCA">
        <w:rPr>
          <w:iCs/>
          <w:lang w:val="el-GR"/>
        </w:rPr>
        <w:t xml:space="preserve"> </w:t>
      </w:r>
      <w:r w:rsidR="008D6BCA">
        <w:rPr>
          <w:iCs/>
          <w:lang w:val="en-US"/>
        </w:rPr>
        <w:t>al</w:t>
      </w:r>
      <w:r w:rsidR="008D6BCA" w:rsidRPr="008D6BCA">
        <w:rPr>
          <w:iCs/>
          <w:lang w:val="el-GR"/>
        </w:rPr>
        <w:t xml:space="preserve">. </w:t>
      </w:r>
      <w:r w:rsidR="008D6BCA" w:rsidRPr="006A0602">
        <w:rPr>
          <w:iCs/>
          <w:lang w:val="el-GR"/>
        </w:rPr>
        <w:t xml:space="preserve">2022, 2024, </w:t>
      </w:r>
      <w:r w:rsidRPr="00844358">
        <w:rPr>
          <w:iCs/>
          <w:lang w:val="el-GR"/>
        </w:rPr>
        <w:t>Pozo &amp; Azcón-Aguilar, 2007).</w:t>
      </w:r>
    </w:p>
    <w:p w14:paraId="4F68726C" w14:textId="46F2599F" w:rsidR="00844358" w:rsidRDefault="00844358" w:rsidP="00844358">
      <w:pPr>
        <w:spacing w:after="120" w:line="276" w:lineRule="auto"/>
        <w:jc w:val="both"/>
        <w:rPr>
          <w:iCs/>
          <w:lang w:val="el-GR"/>
        </w:rPr>
      </w:pPr>
      <w:r w:rsidRPr="00844358">
        <w:rPr>
          <w:iCs/>
          <w:lang w:val="el-GR"/>
        </w:rPr>
        <w:t xml:space="preserve">Στο παρόν παραδοτέο αξιολογείται η επίδραση της τρεχαλόζης, της συστεμίνης και του μικροοργανισμού </w:t>
      </w:r>
      <w:r w:rsidRPr="004D46CA">
        <w:rPr>
          <w:i/>
          <w:iCs/>
          <w:lang w:val="el-GR"/>
        </w:rPr>
        <w:t>Rhizophagus irregularis</w:t>
      </w:r>
      <w:r w:rsidRPr="00844358">
        <w:rPr>
          <w:iCs/>
          <w:lang w:val="el-GR"/>
        </w:rPr>
        <w:t xml:space="preserve"> QS69 στην ωοπαραγωγή, την επιβίωση και την ανάπτυξη σημαντικών φυτοφάγων εχθρών της τομάτας. Στόχος της μελέτης είναι η διερεύνηση της </w:t>
      </w:r>
      <w:r w:rsidR="004D46CA">
        <w:rPr>
          <w:iCs/>
          <w:lang w:val="el-GR"/>
        </w:rPr>
        <w:t>αποτελεσματικότητας</w:t>
      </w:r>
      <w:r w:rsidRPr="00844358">
        <w:rPr>
          <w:iCs/>
          <w:lang w:val="el-GR"/>
        </w:rPr>
        <w:t xml:space="preserve"> των βιοδραστικών αυτών παραγόντων ως εργαλείων ενίσχυσης της φυτικής άμυνας και η αξιολόγησή τους ως συμπληρωματικές στρατηγικές σε προγράμματα ολοκληρωμένης διαχείρισης εχθρών.</w:t>
      </w:r>
    </w:p>
    <w:p w14:paraId="45D128D6" w14:textId="51BCB494" w:rsidR="00EA75E8" w:rsidRPr="00B677AC" w:rsidRDefault="00EA75E8" w:rsidP="00844358">
      <w:pPr>
        <w:spacing w:after="120" w:line="276" w:lineRule="auto"/>
        <w:jc w:val="both"/>
        <w:rPr>
          <w:color w:val="000000"/>
          <w:lang w:val="el-GR"/>
        </w:rPr>
      </w:pPr>
      <w:r w:rsidRPr="00386EAC">
        <w:rPr>
          <w:b/>
          <w:bCs/>
          <w:color w:val="000000" w:themeColor="text1"/>
          <w:lang w:val="el-GR"/>
        </w:rPr>
        <w:t>Ο σκοπός του παρόντος εγγράφου</w:t>
      </w:r>
      <w:r w:rsidRPr="00386EAC">
        <w:rPr>
          <w:color w:val="000000" w:themeColor="text1"/>
          <w:lang w:val="el-GR"/>
        </w:rPr>
        <w:t xml:space="preserve"> είναι η παρουσίαση των αποτελεσμάτων καινοτόμου έρευνας στα πλαίσια του παραδοτέου Π3.</w:t>
      </w:r>
      <w:r w:rsidR="007355FC">
        <w:rPr>
          <w:color w:val="000000" w:themeColor="text1"/>
          <w:lang w:val="el-GR"/>
        </w:rPr>
        <w:t>4</w:t>
      </w:r>
      <w:r w:rsidRPr="00386EAC">
        <w:rPr>
          <w:color w:val="000000" w:themeColor="text1"/>
          <w:lang w:val="el-GR"/>
        </w:rPr>
        <w:t>.</w:t>
      </w:r>
      <w:r w:rsidR="007355FC">
        <w:rPr>
          <w:color w:val="000000" w:themeColor="text1"/>
          <w:lang w:val="el-GR"/>
        </w:rPr>
        <w:t>4</w:t>
      </w:r>
      <w:r w:rsidRPr="00386EAC">
        <w:rPr>
          <w:color w:val="000000" w:themeColor="text1"/>
          <w:lang w:val="el-GR"/>
        </w:rPr>
        <w:t xml:space="preserve">, που αφορά στην αξιολόγηση </w:t>
      </w:r>
      <w:r w:rsidR="007355FC">
        <w:rPr>
          <w:color w:val="000000" w:themeColor="text1"/>
          <w:lang w:val="el-GR"/>
        </w:rPr>
        <w:t xml:space="preserve">της αποτελεσματικότητας </w:t>
      </w:r>
      <w:r w:rsidR="00386EAC" w:rsidRPr="00386EAC">
        <w:rPr>
          <w:color w:val="000000" w:themeColor="text1"/>
          <w:lang w:val="el-GR"/>
        </w:rPr>
        <w:t xml:space="preserve">διαφορετικών </w:t>
      </w:r>
      <w:r w:rsidR="007355FC">
        <w:rPr>
          <w:color w:val="000000" w:themeColor="text1"/>
          <w:lang w:val="el-GR"/>
        </w:rPr>
        <w:t>μεταβολιτών, πεπτιδίων και μικροοργανισμών έναντι σημαντικών εχθρών της καλλιέργειας</w:t>
      </w:r>
      <w:r w:rsidRPr="00386EAC">
        <w:rPr>
          <w:color w:val="000000" w:themeColor="text1"/>
          <w:lang w:val="el-GR"/>
        </w:rPr>
        <w:t>.</w:t>
      </w:r>
    </w:p>
    <w:p w14:paraId="0418649A" w14:textId="77777777" w:rsidR="00EA75E8" w:rsidRPr="00B677AC" w:rsidRDefault="00EA75E8" w:rsidP="00EA75E8">
      <w:pPr>
        <w:spacing w:after="120" w:line="276" w:lineRule="auto"/>
        <w:jc w:val="both"/>
        <w:rPr>
          <w:lang w:val="el-GR"/>
        </w:rPr>
      </w:pPr>
      <w:r w:rsidRPr="00B677AC">
        <w:rPr>
          <w:b/>
          <w:bCs/>
          <w:lang w:val="el-GR"/>
        </w:rPr>
        <w:t>1. Εισαγωγή και Στόχοι:</w:t>
      </w:r>
      <w:r w:rsidRPr="00B677AC">
        <w:rPr>
          <w:lang w:val="el-GR"/>
        </w:rPr>
        <w:t xml:space="preserve"> Παρουσιάζεται το πλαίσιο της έρευνας και οι στόχοι του εγγράφου.</w:t>
      </w:r>
    </w:p>
    <w:p w14:paraId="36D81221" w14:textId="77777777" w:rsidR="00EA75E8" w:rsidRPr="00B677AC" w:rsidRDefault="00EA75E8" w:rsidP="00EA75E8">
      <w:pPr>
        <w:spacing w:after="120" w:line="276" w:lineRule="auto"/>
        <w:jc w:val="both"/>
        <w:rPr>
          <w:lang w:val="el-GR"/>
        </w:rPr>
      </w:pPr>
      <w:r w:rsidRPr="00B677AC">
        <w:rPr>
          <w:b/>
          <w:bCs/>
          <w:lang w:val="el-GR"/>
        </w:rPr>
        <w:t xml:space="preserve">2. Περιγραφή των Εργασιών: </w:t>
      </w:r>
      <w:r w:rsidRPr="00B677AC">
        <w:rPr>
          <w:lang w:val="el-GR"/>
        </w:rPr>
        <w:t>2.1</w:t>
      </w:r>
      <w:r w:rsidRPr="00B677AC">
        <w:rPr>
          <w:b/>
          <w:bCs/>
          <w:lang w:val="el-GR"/>
        </w:rPr>
        <w:t>.</w:t>
      </w:r>
      <w:r w:rsidRPr="00B677AC">
        <w:rPr>
          <w:lang w:val="el-GR"/>
        </w:rPr>
        <w:t xml:space="preserve"> Υλικά και Μέθοδοι, 2.2</w:t>
      </w:r>
      <w:r w:rsidRPr="00B677AC">
        <w:rPr>
          <w:b/>
          <w:bCs/>
          <w:lang w:val="el-GR"/>
        </w:rPr>
        <w:t>.</w:t>
      </w:r>
      <w:r w:rsidRPr="00B677AC">
        <w:rPr>
          <w:lang w:val="el-GR"/>
        </w:rPr>
        <w:t xml:space="preserve"> Αποτελέσματα και Συζήτηση.</w:t>
      </w:r>
    </w:p>
    <w:p w14:paraId="1A3C5FF2" w14:textId="77777777" w:rsidR="00EA75E8" w:rsidRPr="00B677AC" w:rsidRDefault="00EA75E8" w:rsidP="00EA75E8">
      <w:pPr>
        <w:spacing w:after="120" w:line="276" w:lineRule="auto"/>
        <w:jc w:val="both"/>
        <w:rPr>
          <w:lang w:val="el-GR"/>
        </w:rPr>
      </w:pPr>
      <w:r w:rsidRPr="00B677AC">
        <w:rPr>
          <w:b/>
          <w:bCs/>
          <w:lang w:val="el-GR"/>
        </w:rPr>
        <w:t>3. Σύνοψη και Συμπεράσματα:</w:t>
      </w:r>
      <w:r w:rsidRPr="00B677AC">
        <w:rPr>
          <w:lang w:val="el-GR"/>
        </w:rPr>
        <w:t xml:space="preserve"> Βασικά ευρήματα της έρευνας και σχετικά συμπεράσματα.</w:t>
      </w:r>
    </w:p>
    <w:p w14:paraId="6C3E99CF" w14:textId="6762D41D" w:rsidR="00845280" w:rsidRPr="00EA75E8" w:rsidRDefault="00EA75E8" w:rsidP="00EA75E8">
      <w:pPr>
        <w:spacing w:after="120" w:line="276" w:lineRule="auto"/>
        <w:jc w:val="both"/>
        <w:rPr>
          <w:lang w:val="el-GR"/>
        </w:rPr>
      </w:pPr>
      <w:r w:rsidRPr="00C35B24">
        <w:rPr>
          <w:b/>
          <w:bCs/>
          <w:lang w:val="el-GR"/>
        </w:rPr>
        <w:t>4. Παράρτημα:</w:t>
      </w:r>
      <w:r w:rsidRPr="00C35B24">
        <w:rPr>
          <w:lang w:val="el-GR"/>
        </w:rPr>
        <w:t xml:space="preserve"> Βιβλιογραφικές αναφορές.</w:t>
      </w:r>
    </w:p>
    <w:p w14:paraId="389F796F" w14:textId="77777777" w:rsidR="00845280" w:rsidRPr="00A50100" w:rsidRDefault="00C01458" w:rsidP="00AB6314">
      <w:pPr>
        <w:spacing w:line="276" w:lineRule="auto"/>
        <w:jc w:val="both"/>
        <w:rPr>
          <w:color w:val="000000"/>
          <w:lang w:val="el-GR"/>
        </w:rPr>
      </w:pPr>
      <w:r w:rsidRPr="00A50100">
        <w:rPr>
          <w:lang w:val="el-GR"/>
        </w:rPr>
        <w:br w:type="page"/>
      </w:r>
    </w:p>
    <w:p w14:paraId="31E6EBC5" w14:textId="412D8C04" w:rsidR="00CF3C79" w:rsidRDefault="00E145E5" w:rsidP="00CF3C79">
      <w:pPr>
        <w:pStyle w:val="Heading1"/>
        <w:numPr>
          <w:ilvl w:val="0"/>
          <w:numId w:val="3"/>
        </w:numPr>
        <w:spacing w:after="120" w:line="276" w:lineRule="auto"/>
        <w:ind w:left="431" w:hanging="431"/>
        <w:jc w:val="both"/>
        <w:rPr>
          <w:lang w:val="el-GR"/>
        </w:rPr>
      </w:pPr>
      <w:bookmarkStart w:id="1" w:name="_Toc184738477"/>
      <w:r w:rsidRPr="00481FE7">
        <w:rPr>
          <w:lang w:val="el-GR"/>
        </w:rPr>
        <w:lastRenderedPageBreak/>
        <w:t>ΠΕΡΙΓΡΑΦΗ ΤΩΝ ΕΡΓΑΣΙΩΝ</w:t>
      </w:r>
      <w:bookmarkStart w:id="2" w:name="_Toc184738478"/>
      <w:bookmarkEnd w:id="1"/>
    </w:p>
    <w:p w14:paraId="0B615225" w14:textId="4BD43269" w:rsidR="00A76656" w:rsidRPr="001257C3" w:rsidRDefault="004F6B40" w:rsidP="001257C3">
      <w:pPr>
        <w:pStyle w:val="Heading2"/>
        <w:spacing w:before="0" w:after="120" w:line="276" w:lineRule="auto"/>
        <w:rPr>
          <w:b w:val="0"/>
          <w:color w:val="auto"/>
          <w:sz w:val="22"/>
          <w:szCs w:val="22"/>
        </w:rPr>
      </w:pPr>
      <w:proofErr w:type="spellStart"/>
      <w:r w:rsidRPr="001257C3">
        <w:rPr>
          <w:b w:val="0"/>
          <w:color w:val="auto"/>
          <w:sz w:val="22"/>
          <w:szCs w:val="22"/>
        </w:rPr>
        <w:t>Πραγματοποίηθηκαν</w:t>
      </w:r>
      <w:proofErr w:type="spellEnd"/>
      <w:r w:rsidRPr="001257C3">
        <w:rPr>
          <w:b w:val="0"/>
          <w:color w:val="auto"/>
          <w:sz w:val="22"/>
          <w:szCs w:val="22"/>
        </w:rPr>
        <w:t xml:space="preserve"> πειράματα αξιολόγησης της αποτελεσματικότητας υποσχόμενων </w:t>
      </w:r>
      <w:proofErr w:type="spellStart"/>
      <w:r w:rsidRPr="001257C3">
        <w:rPr>
          <w:b w:val="0"/>
          <w:color w:val="auto"/>
          <w:sz w:val="22"/>
          <w:szCs w:val="22"/>
        </w:rPr>
        <w:t>βιοδραστικών</w:t>
      </w:r>
      <w:proofErr w:type="spellEnd"/>
      <w:r w:rsidRPr="001257C3">
        <w:rPr>
          <w:b w:val="0"/>
          <w:color w:val="auto"/>
          <w:sz w:val="22"/>
          <w:szCs w:val="22"/>
        </w:rPr>
        <w:t xml:space="preserve"> μορίων, συγκεκριμένα ενός </w:t>
      </w:r>
      <w:proofErr w:type="spellStart"/>
      <w:r w:rsidRPr="001257C3">
        <w:rPr>
          <w:b w:val="0"/>
          <w:color w:val="auto"/>
          <w:sz w:val="22"/>
          <w:szCs w:val="22"/>
        </w:rPr>
        <w:t>μεταβολίτη</w:t>
      </w:r>
      <w:proofErr w:type="spellEnd"/>
      <w:r w:rsidRPr="001257C3">
        <w:rPr>
          <w:b w:val="0"/>
          <w:color w:val="auto"/>
          <w:sz w:val="22"/>
          <w:szCs w:val="22"/>
        </w:rPr>
        <w:t xml:space="preserve"> (</w:t>
      </w:r>
      <w:r w:rsidRPr="001257C3">
        <w:rPr>
          <w:b w:val="0"/>
          <w:color w:val="auto"/>
          <w:sz w:val="22"/>
          <w:szCs w:val="22"/>
          <w:lang w:val="en-US"/>
        </w:rPr>
        <w:t>trehalose</w:t>
      </w:r>
      <w:r w:rsidRPr="001257C3">
        <w:rPr>
          <w:b w:val="0"/>
          <w:color w:val="auto"/>
          <w:sz w:val="22"/>
          <w:szCs w:val="22"/>
        </w:rPr>
        <w:t>), ενός πεπτιδίου (</w:t>
      </w:r>
      <w:r w:rsidRPr="001257C3">
        <w:rPr>
          <w:b w:val="0"/>
          <w:color w:val="auto"/>
          <w:sz w:val="22"/>
          <w:szCs w:val="22"/>
          <w:lang w:val="en-US"/>
        </w:rPr>
        <w:t>systemin</w:t>
      </w:r>
      <w:r w:rsidRPr="001257C3">
        <w:rPr>
          <w:b w:val="0"/>
          <w:color w:val="auto"/>
          <w:sz w:val="22"/>
          <w:szCs w:val="22"/>
        </w:rPr>
        <w:t>) και ενός μικροοργανισμού (</w:t>
      </w:r>
      <w:proofErr w:type="spellStart"/>
      <w:r w:rsidR="00AF7816" w:rsidRPr="00AF7816">
        <w:rPr>
          <w:b w:val="0"/>
          <w:i/>
          <w:color w:val="auto"/>
          <w:sz w:val="22"/>
          <w:szCs w:val="22"/>
          <w:lang w:val="en-US"/>
        </w:rPr>
        <w:t>Rhizophagus</w:t>
      </w:r>
      <w:proofErr w:type="spellEnd"/>
      <w:r w:rsidR="00AF7816" w:rsidRPr="00AF7816">
        <w:rPr>
          <w:b w:val="0"/>
          <w:i/>
          <w:color w:val="auto"/>
          <w:sz w:val="22"/>
          <w:szCs w:val="22"/>
        </w:rPr>
        <w:t xml:space="preserve"> </w:t>
      </w:r>
      <w:r w:rsidRPr="001257C3">
        <w:rPr>
          <w:b w:val="0"/>
          <w:i/>
          <w:color w:val="auto"/>
          <w:sz w:val="22"/>
          <w:szCs w:val="22"/>
          <w:lang w:val="en-US"/>
        </w:rPr>
        <w:t>irregularis</w:t>
      </w:r>
      <w:r w:rsidRPr="001257C3">
        <w:rPr>
          <w:b w:val="0"/>
          <w:color w:val="auto"/>
          <w:sz w:val="22"/>
          <w:szCs w:val="22"/>
        </w:rPr>
        <w:t xml:space="preserve"> </w:t>
      </w:r>
      <w:r w:rsidRPr="001257C3">
        <w:rPr>
          <w:b w:val="0"/>
          <w:color w:val="auto"/>
          <w:sz w:val="22"/>
          <w:szCs w:val="22"/>
          <w:lang w:val="en-US"/>
        </w:rPr>
        <w:t>QS</w:t>
      </w:r>
      <w:r w:rsidRPr="001257C3">
        <w:rPr>
          <w:b w:val="0"/>
          <w:color w:val="auto"/>
          <w:sz w:val="22"/>
          <w:szCs w:val="22"/>
        </w:rPr>
        <w:t>69</w:t>
      </w:r>
      <w:r w:rsidR="006667FE" w:rsidRPr="001257C3">
        <w:rPr>
          <w:b w:val="0"/>
          <w:color w:val="auto"/>
          <w:sz w:val="22"/>
          <w:szCs w:val="22"/>
        </w:rPr>
        <w:t xml:space="preserve"> – </w:t>
      </w:r>
      <w:r w:rsidR="006667FE" w:rsidRPr="001257C3">
        <w:rPr>
          <w:b w:val="0"/>
          <w:color w:val="auto"/>
          <w:sz w:val="22"/>
          <w:szCs w:val="22"/>
          <w:lang w:val="en-US"/>
        </w:rPr>
        <w:t>QS</w:t>
      </w:r>
      <w:r w:rsidR="006667FE" w:rsidRPr="001257C3">
        <w:rPr>
          <w:b w:val="0"/>
          <w:color w:val="auto"/>
          <w:sz w:val="22"/>
          <w:szCs w:val="22"/>
        </w:rPr>
        <w:t>69</w:t>
      </w:r>
      <w:r w:rsidRPr="001257C3">
        <w:rPr>
          <w:b w:val="0"/>
          <w:color w:val="auto"/>
          <w:sz w:val="22"/>
          <w:szCs w:val="22"/>
        </w:rPr>
        <w:t xml:space="preserve">) έναντι σημαντικών εχθρών της τομάτας (τετράνυχος </w:t>
      </w:r>
      <w:r w:rsidRPr="001257C3">
        <w:rPr>
          <w:b w:val="0"/>
          <w:i/>
          <w:color w:val="auto"/>
          <w:sz w:val="22"/>
          <w:szCs w:val="22"/>
          <w:lang w:val="en-US"/>
        </w:rPr>
        <w:t>Tetranychus</w:t>
      </w:r>
      <w:r w:rsidRPr="001257C3">
        <w:rPr>
          <w:b w:val="0"/>
          <w:i/>
          <w:color w:val="auto"/>
          <w:sz w:val="22"/>
          <w:szCs w:val="22"/>
        </w:rPr>
        <w:t xml:space="preserve"> </w:t>
      </w:r>
      <w:r w:rsidRPr="001257C3">
        <w:rPr>
          <w:b w:val="0"/>
          <w:i/>
          <w:color w:val="auto"/>
          <w:sz w:val="22"/>
          <w:szCs w:val="22"/>
          <w:lang w:val="en-US"/>
        </w:rPr>
        <w:t>urticae</w:t>
      </w:r>
      <w:r w:rsidRPr="001257C3">
        <w:rPr>
          <w:b w:val="0"/>
          <w:color w:val="auto"/>
          <w:sz w:val="22"/>
          <w:szCs w:val="22"/>
        </w:rPr>
        <w:t xml:space="preserve">, </w:t>
      </w:r>
      <w:r w:rsidR="00F368C5" w:rsidRPr="001257C3">
        <w:rPr>
          <w:b w:val="0"/>
          <w:color w:val="auto"/>
          <w:sz w:val="22"/>
          <w:szCs w:val="22"/>
        </w:rPr>
        <w:t xml:space="preserve">αλευρώδης </w:t>
      </w:r>
      <w:r w:rsidR="00F368C5" w:rsidRPr="001257C3">
        <w:rPr>
          <w:b w:val="0"/>
          <w:i/>
          <w:color w:val="auto"/>
          <w:sz w:val="22"/>
          <w:szCs w:val="22"/>
          <w:lang w:val="en-US"/>
        </w:rPr>
        <w:t>Bemisia</w:t>
      </w:r>
      <w:r w:rsidR="00F368C5" w:rsidRPr="001257C3">
        <w:rPr>
          <w:b w:val="0"/>
          <w:color w:val="auto"/>
          <w:sz w:val="22"/>
          <w:szCs w:val="22"/>
        </w:rPr>
        <w:t xml:space="preserve"> </w:t>
      </w:r>
      <w:r w:rsidR="00F368C5" w:rsidRPr="001257C3">
        <w:rPr>
          <w:b w:val="0"/>
          <w:i/>
          <w:color w:val="auto"/>
          <w:sz w:val="22"/>
          <w:szCs w:val="22"/>
          <w:lang w:val="en-US"/>
        </w:rPr>
        <w:t>tabaci</w:t>
      </w:r>
      <w:r w:rsidR="00F368C5" w:rsidRPr="001257C3">
        <w:rPr>
          <w:b w:val="0"/>
          <w:color w:val="auto"/>
          <w:sz w:val="22"/>
          <w:szCs w:val="22"/>
        </w:rPr>
        <w:t xml:space="preserve"> και </w:t>
      </w:r>
      <w:r w:rsidR="008225A7">
        <w:rPr>
          <w:b w:val="0"/>
          <w:color w:val="auto"/>
          <w:sz w:val="22"/>
          <w:szCs w:val="22"/>
        </w:rPr>
        <w:t xml:space="preserve">το </w:t>
      </w:r>
      <w:r w:rsidR="00F368C5" w:rsidRPr="001257C3">
        <w:rPr>
          <w:b w:val="0"/>
          <w:color w:val="auto"/>
          <w:sz w:val="22"/>
          <w:szCs w:val="22"/>
        </w:rPr>
        <w:t xml:space="preserve">Λεπιδόπτερο </w:t>
      </w:r>
      <w:r w:rsidR="00F368C5" w:rsidRPr="001257C3">
        <w:rPr>
          <w:b w:val="0"/>
          <w:i/>
          <w:color w:val="auto"/>
          <w:sz w:val="22"/>
          <w:szCs w:val="22"/>
          <w:lang w:val="en-US"/>
        </w:rPr>
        <w:t>Tuta</w:t>
      </w:r>
      <w:r w:rsidR="00F368C5" w:rsidRPr="001257C3">
        <w:rPr>
          <w:b w:val="0"/>
          <w:i/>
          <w:color w:val="auto"/>
          <w:sz w:val="22"/>
          <w:szCs w:val="22"/>
        </w:rPr>
        <w:t xml:space="preserve"> </w:t>
      </w:r>
      <w:r w:rsidR="00F368C5" w:rsidRPr="001257C3">
        <w:rPr>
          <w:b w:val="0"/>
          <w:i/>
          <w:color w:val="auto"/>
          <w:sz w:val="22"/>
          <w:szCs w:val="22"/>
          <w:lang w:val="en-US"/>
        </w:rPr>
        <w:t>absoluta</w:t>
      </w:r>
      <w:r w:rsidR="00F368C5" w:rsidRPr="001257C3">
        <w:rPr>
          <w:b w:val="0"/>
          <w:color w:val="auto"/>
          <w:sz w:val="22"/>
          <w:szCs w:val="22"/>
        </w:rPr>
        <w:t>).</w:t>
      </w:r>
    </w:p>
    <w:p w14:paraId="2B41197A" w14:textId="77777777" w:rsidR="00A91F31" w:rsidRPr="001257C3" w:rsidRDefault="00A91F31" w:rsidP="006A0602">
      <w:pPr>
        <w:spacing w:line="276" w:lineRule="auto"/>
        <w:rPr>
          <w:lang w:val="el-GR"/>
        </w:rPr>
      </w:pPr>
    </w:p>
    <w:p w14:paraId="148290B0" w14:textId="56AEE2B5" w:rsidR="002478EE" w:rsidRPr="001257C3" w:rsidRDefault="58DCA531" w:rsidP="001257C3">
      <w:pPr>
        <w:pStyle w:val="Heading1"/>
        <w:numPr>
          <w:ilvl w:val="1"/>
          <w:numId w:val="3"/>
        </w:numPr>
        <w:spacing w:after="120" w:line="276" w:lineRule="auto"/>
        <w:ind w:left="567" w:hanging="567"/>
        <w:jc w:val="both"/>
        <w:rPr>
          <w:sz w:val="22"/>
          <w:szCs w:val="22"/>
        </w:rPr>
      </w:pPr>
      <w:proofErr w:type="spellStart"/>
      <w:r w:rsidRPr="001257C3">
        <w:rPr>
          <w:sz w:val="22"/>
          <w:szCs w:val="22"/>
        </w:rPr>
        <w:t>Υλικά</w:t>
      </w:r>
      <w:proofErr w:type="spellEnd"/>
      <w:r w:rsidRPr="001257C3">
        <w:rPr>
          <w:sz w:val="22"/>
          <w:szCs w:val="22"/>
        </w:rPr>
        <w:t xml:space="preserve"> και </w:t>
      </w:r>
      <w:proofErr w:type="spellStart"/>
      <w:r w:rsidRPr="001257C3">
        <w:rPr>
          <w:sz w:val="22"/>
          <w:szCs w:val="22"/>
        </w:rPr>
        <w:t>Μέθοδοι</w:t>
      </w:r>
      <w:bookmarkStart w:id="3" w:name="_Toc184738479"/>
      <w:bookmarkEnd w:id="2"/>
      <w:proofErr w:type="spellEnd"/>
    </w:p>
    <w:p w14:paraId="6FF57A6A" w14:textId="77777777" w:rsidR="002478EE" w:rsidRPr="001257C3" w:rsidRDefault="002478EE" w:rsidP="001257C3">
      <w:pPr>
        <w:pStyle w:val="ListParagraph"/>
        <w:spacing w:after="120" w:line="276" w:lineRule="auto"/>
        <w:ind w:left="0" w:firstLine="0"/>
        <w:jc w:val="both"/>
        <w:rPr>
          <w:u w:val="single"/>
          <w:lang w:val="el-GR"/>
        </w:rPr>
      </w:pPr>
      <w:r w:rsidRPr="001257C3">
        <w:rPr>
          <w:u w:val="single"/>
          <w:lang w:val="el-GR"/>
        </w:rPr>
        <w:t>Διατήρηση των αποικιών των φυτοφάγων εχθρών</w:t>
      </w:r>
    </w:p>
    <w:p w14:paraId="3766237A" w14:textId="33A44668" w:rsidR="002478EE" w:rsidRPr="001257C3" w:rsidRDefault="002478EE" w:rsidP="001257C3">
      <w:pPr>
        <w:pStyle w:val="ListParagraph"/>
        <w:spacing w:after="120" w:line="276" w:lineRule="auto"/>
        <w:ind w:left="0" w:firstLine="0"/>
        <w:jc w:val="both"/>
        <w:rPr>
          <w:lang w:val="el-GR"/>
        </w:rPr>
      </w:pPr>
      <w:r w:rsidRPr="001257C3">
        <w:rPr>
          <w:lang w:val="el-GR"/>
        </w:rPr>
        <w:t xml:space="preserve">Η εκτροφή του </w:t>
      </w:r>
      <w:r w:rsidRPr="001257C3">
        <w:rPr>
          <w:i/>
          <w:lang w:val="el-GR"/>
        </w:rPr>
        <w:t>T. urticae</w:t>
      </w:r>
      <w:r w:rsidRPr="001257C3">
        <w:rPr>
          <w:lang w:val="el-GR"/>
        </w:rPr>
        <w:t xml:space="preserve"> διατηρούνταν σε συνθήκες εργαστηρίου (25 ± 2 °C, 16:8 LD, 60-70% RH) σε φυτά τομάτας (</w:t>
      </w:r>
      <w:r w:rsidRPr="001257C3">
        <w:rPr>
          <w:i/>
          <w:lang w:val="el-GR"/>
        </w:rPr>
        <w:t>S. lycopersicum</w:t>
      </w:r>
      <w:r w:rsidRPr="001257C3">
        <w:rPr>
          <w:lang w:val="el-GR"/>
        </w:rPr>
        <w:t xml:space="preserve"> L., cv. MicroTom), ηλικίας 3 εβδομάδων που τοποθετούνταν εντός εντομοστεγών κλωβών (διαστάσεων 47.5 x 47.5 x 47.5 cm, type BugDorm MegaView Science Co., Ltd.). Τα φυτά ποτίζονταν κάθε 2 ημέρες και μία φορά την εβδομάδα γινόταν λίπανση με υδατοδιαλυτό λίπασμα (N-P-K, 20-20-20, 1 g/L). Στα πειράματα χρησιμοποιήθηκαν ενήλικα νεαρά θηλυκά άτομα. Για την εξασφάλιση του απαιτούμενου αριθμού και ίδιας ηλικίας νεαρών θηλυκών ατόμων ανά πειραματική επανάληψη, μεταφέρονταν 600 θηλυκά άτομα από την εργαστηριακή αποικία σε 4 φυτά τομάτας (</w:t>
      </w:r>
      <w:r w:rsidRPr="001257C3">
        <w:rPr>
          <w:i/>
          <w:lang w:val="el-GR"/>
        </w:rPr>
        <w:t>S. lycopersicum</w:t>
      </w:r>
      <w:r w:rsidRPr="001257C3">
        <w:rPr>
          <w:lang w:val="el-GR"/>
        </w:rPr>
        <w:t xml:space="preserve"> L., cv. Micro Tom), που αναπτύσσονταν σε γλάστρες διαμέτρου 12 cm με τύρφη (Klasmann-TS2) μέσα σε εντομοστεγείς κλωβούς (διαστάσεων 47.5 x 47.5 x 47.5 cm, type BugDorm MegaView Science Co., Ltd.) και παρέμεναν για 48 ώρες. Στη συνέχεια, τα ενήλικα άτομα αφαιρούνταν και έπειτα από περίπου 16 ημέρες τα νεαρά θηλυκά άτομα ήταν κατάλληλα για να χρησιμοποιηθούν στα πειράματα. Τα φυτά ποτίζονταν κάθε 2 ημέρες και μία φορά την εβδομάδα γινόταν λίπανση με υδατοδιαλυτό λίπασμα (N-P-K, 20-20-20, 1 g/L) ενώ διατηρούνταν σε συνθήκες εργαστηρίου (25 ± 2 °C , 16:8 LD, 60-70% RH).</w:t>
      </w:r>
    </w:p>
    <w:p w14:paraId="18880ACB" w14:textId="77777777" w:rsidR="002478EE" w:rsidRPr="001257C3" w:rsidRDefault="002478EE" w:rsidP="001257C3">
      <w:pPr>
        <w:pStyle w:val="ListParagraph"/>
        <w:spacing w:after="120" w:line="276" w:lineRule="auto"/>
        <w:ind w:left="0" w:firstLine="0"/>
        <w:jc w:val="both"/>
        <w:rPr>
          <w:lang w:val="el-GR"/>
        </w:rPr>
      </w:pPr>
      <w:r w:rsidRPr="001257C3">
        <w:rPr>
          <w:lang w:val="el-GR"/>
        </w:rPr>
        <w:t xml:space="preserve">Η εκτροφή του </w:t>
      </w:r>
      <w:r w:rsidRPr="001257C3">
        <w:rPr>
          <w:i/>
          <w:lang w:val="el-GR"/>
        </w:rPr>
        <w:t>B. tabaci</w:t>
      </w:r>
      <w:r w:rsidRPr="001257C3">
        <w:rPr>
          <w:lang w:val="el-GR"/>
        </w:rPr>
        <w:t xml:space="preserve"> διατηρούνταν σε συνθήκες εργαστηρίου (25 ± 2 °C, 16:8 LD, 60-70% RH) σε φυτά βαμβακιού ηλικίας 3 εβδομάδων που τοποθετούνταν εντός εντομοστεγών κλωβών (διαστάσεων 47.5 × D47.5 × 93.0 cm, type 44590F, BugDorm). Τα φυτά ποτίζονταν κάθε 2 ημέρες και μία φορά την εβδομάδα γινόταν λίπανση με υδατοδιαλυτό λίπασμα (N-P-K, 20-20-20, 1 g/L).</w:t>
      </w:r>
    </w:p>
    <w:p w14:paraId="11EFB0B5" w14:textId="58D0C387" w:rsidR="00CF1421" w:rsidRPr="001257C3" w:rsidRDefault="002478EE" w:rsidP="001257C3">
      <w:pPr>
        <w:pStyle w:val="ListParagraph"/>
        <w:spacing w:after="120" w:line="276" w:lineRule="auto"/>
        <w:ind w:left="0" w:firstLine="0"/>
        <w:jc w:val="both"/>
        <w:rPr>
          <w:lang w:val="el-GR"/>
        </w:rPr>
      </w:pPr>
      <w:r w:rsidRPr="001257C3">
        <w:rPr>
          <w:lang w:val="el-GR"/>
        </w:rPr>
        <w:t xml:space="preserve">Η εκτροφή του </w:t>
      </w:r>
      <w:r w:rsidRPr="001257C3">
        <w:rPr>
          <w:i/>
          <w:lang w:val="el-GR"/>
        </w:rPr>
        <w:t>T. absoluta</w:t>
      </w:r>
      <w:r w:rsidRPr="001257C3">
        <w:rPr>
          <w:lang w:val="el-GR"/>
        </w:rPr>
        <w:t xml:space="preserve"> διατηρούνταν σε συνθήκες εργαστηρίου (25 ± 2 °C, 16:8 LD, 60-70% RH) σε φυτά τομάτας (</w:t>
      </w:r>
      <w:r w:rsidRPr="001257C3">
        <w:rPr>
          <w:i/>
          <w:lang w:val="el-GR"/>
        </w:rPr>
        <w:t>S. lycopersicum</w:t>
      </w:r>
      <w:r w:rsidRPr="001257C3">
        <w:rPr>
          <w:lang w:val="el-GR"/>
        </w:rPr>
        <w:t xml:space="preserve"> L., cv. Ace) ηλικίας 4 εβδομάδων που τοποθετούνταν εντός εντομοστεγών κλωβών (διαστάσεων (15 × 15 × 24 cm, type pop-up). Τα φυτά ποτίζονταν κάθε 2 ημέρες και μία φορά την εβδομάδα γινόταν προσθήκη ζαχαρόνερου σε σωληνάρια Falcon ως πηγή τροφής. Στα πειράματα χρησιμοποιήθηκαν αυγά του είδους </w:t>
      </w:r>
      <w:r w:rsidRPr="001257C3">
        <w:rPr>
          <w:i/>
          <w:lang w:val="el-GR"/>
        </w:rPr>
        <w:t>T. absoluta</w:t>
      </w:r>
      <w:r w:rsidRPr="001257C3">
        <w:rPr>
          <w:lang w:val="el-GR"/>
        </w:rPr>
        <w:t>. Για την εξασφάλιση του απαιτούμενου αριθμού αυγών ανά πειραματική επανάληψη, μεταφέρονταν 80-100 ενήλικα θηλυκά άτομα από την εργαστηριακή αποικία σε 4 φυτά τομάτας (</w:t>
      </w:r>
      <w:r w:rsidRPr="001257C3">
        <w:rPr>
          <w:i/>
          <w:lang w:val="el-GR"/>
        </w:rPr>
        <w:t>S. lycopersicum</w:t>
      </w:r>
      <w:r w:rsidRPr="001257C3">
        <w:rPr>
          <w:lang w:val="el-GR"/>
        </w:rPr>
        <w:t xml:space="preserve"> L., cv. Micro Tom), που αναπτύσσονταν σε γλάστρες διαμέτρου 12 cm με τύρφη (Klasmann-TS2) μέσα σε εντομοστεγείς κλωβούς (διαστάσεων 15 × 15 × 24 cm, type pop-up) και παρέμεναν εκεί για 48 ώρες. Στη συνέχεια, τα ενήλικα άτομα αφαιρούνταν και έπειτα από 2 ημέρες τα αυγά που είχαν αποθέσει τα ενήλικα θηλυκά άτομα ήταν κατάλληλα για να χρησιμοποιηθούν στα πειράματα. Τα φυτά ποτίζονταν κάθε 2 ημέρες ενώ </w:t>
      </w:r>
      <w:r w:rsidRPr="001257C3">
        <w:rPr>
          <w:lang w:val="el-GR"/>
        </w:rPr>
        <w:lastRenderedPageBreak/>
        <w:t>διατηρούνταν σε συνθήκες εργαστηρίου (25 ± 2 °C , 16:8 LD, 60-70% RH).</w:t>
      </w:r>
    </w:p>
    <w:p w14:paraId="7E56BE82" w14:textId="0E3C1B8A" w:rsidR="004F6B40" w:rsidRPr="001257C3" w:rsidRDefault="004F6B40" w:rsidP="001257C3">
      <w:pPr>
        <w:pStyle w:val="ListParagraph"/>
        <w:spacing w:after="120" w:line="276" w:lineRule="auto"/>
        <w:ind w:left="0" w:firstLine="0"/>
        <w:jc w:val="both"/>
        <w:rPr>
          <w:lang w:val="el-GR"/>
        </w:rPr>
      </w:pPr>
    </w:p>
    <w:p w14:paraId="28DBA2E8" w14:textId="77777777" w:rsidR="00EA3B33" w:rsidRPr="001257C3" w:rsidRDefault="00EA3B33" w:rsidP="001257C3">
      <w:pPr>
        <w:pStyle w:val="ListParagraph"/>
        <w:spacing w:after="120" w:line="276" w:lineRule="auto"/>
        <w:ind w:left="0" w:firstLine="0"/>
        <w:jc w:val="both"/>
        <w:rPr>
          <w:u w:val="single"/>
          <w:lang w:val="el-GR"/>
        </w:rPr>
      </w:pPr>
      <w:r w:rsidRPr="001257C3">
        <w:rPr>
          <w:u w:val="single"/>
          <w:lang w:val="el-GR"/>
        </w:rPr>
        <w:t>Προετοιμασία πειραματικών φυτών τομάτας</w:t>
      </w:r>
    </w:p>
    <w:p w14:paraId="32F9322F" w14:textId="1407A19E" w:rsidR="00EA3B33" w:rsidRPr="001257C3" w:rsidRDefault="00EA3B33" w:rsidP="001257C3">
      <w:pPr>
        <w:pStyle w:val="ListParagraph"/>
        <w:spacing w:after="120" w:line="276" w:lineRule="auto"/>
        <w:ind w:left="0" w:firstLine="0"/>
        <w:jc w:val="both"/>
        <w:rPr>
          <w:lang w:val="el-GR"/>
        </w:rPr>
      </w:pPr>
      <w:r w:rsidRPr="001257C3">
        <w:rPr>
          <w:lang w:val="el-GR"/>
        </w:rPr>
        <w:t xml:space="preserve">Στα πειράματα χρησιμοποιήθηκαν φυτά τομάτας της ποικιλίας </w:t>
      </w:r>
      <w:r w:rsidRPr="001257C3">
        <w:rPr>
          <w:lang w:val="en-US"/>
        </w:rPr>
        <w:t>Moneymaker</w:t>
      </w:r>
      <w:r w:rsidRPr="001257C3">
        <w:rPr>
          <w:lang w:val="el-GR"/>
        </w:rPr>
        <w:t>. Για την παραγωγή των σποροφύτων, οι σπόροι αποστειρώνονταν σε διάλυμα 1% υποχλωριώδους νατρίου. Ακολούθησε ξέπλυμα των σπόρων με νερό, στέγνωμα σε απορροφητικό χαρτί και τοποθέτησή τους σε πλαστικά σπορεία (διαστάσεων 8 x 8 x 8 cm) με αποστειρωμένη τύρφη (KLASSMAN TS2) έως τη μεταφύτευση. Μετά από 10 ημέρες, μεταφυτεύονταν τα νεαρά σπορόφυτα σε πλαστικές γλάστρες (Ø 12 cm), με αποστειρωμένη τύρφη (KLASSMAN TS2) και διατηρούνταν σε ελεγχόμενες συνθήκες εργαστηρίου (25 ± 2 °C, 16:8 LD, 60-70% RH). Ανά εχθρό, πραγματοποιήθηκαν πειράματα αξιολόγησης διαφορετικών βιοδραστικών μορίων, τα οποία εφαρ</w:t>
      </w:r>
      <w:r w:rsidR="00E26175">
        <w:rPr>
          <w:lang w:val="el-GR"/>
        </w:rPr>
        <w:t>μ</w:t>
      </w:r>
      <w:r w:rsidRPr="001257C3">
        <w:rPr>
          <w:lang w:val="el-GR"/>
        </w:rPr>
        <w:t>όστηκαν με όμοιο τρόπο σε φυτά τομάτας δύο ημέρες μετά τη μεταφύτευση, μέσω ριζοποτίσματος. Συνολικά, χρησιμοποιήθηκαν 4 ομάδες φυτών ανά εχθρό (</w:t>
      </w:r>
      <w:r w:rsidRPr="001257C3">
        <w:rPr>
          <w:lang w:val="en-US"/>
        </w:rPr>
        <w:t>trehalose</w:t>
      </w:r>
      <w:r w:rsidRPr="001257C3">
        <w:rPr>
          <w:lang w:val="el-GR"/>
        </w:rPr>
        <w:t xml:space="preserve">, </w:t>
      </w:r>
      <w:r w:rsidRPr="001257C3">
        <w:rPr>
          <w:lang w:val="en-US"/>
        </w:rPr>
        <w:t>systemin</w:t>
      </w:r>
      <w:r w:rsidRPr="001257C3">
        <w:rPr>
          <w:lang w:val="el-GR"/>
        </w:rPr>
        <w:t xml:space="preserve">, </w:t>
      </w:r>
      <w:r w:rsidRPr="001257C3">
        <w:rPr>
          <w:lang w:val="en-US"/>
        </w:rPr>
        <w:t>QS</w:t>
      </w:r>
      <w:r w:rsidRPr="001257C3">
        <w:rPr>
          <w:lang w:val="el-GR"/>
        </w:rPr>
        <w:t>69, μάρτυρας).</w:t>
      </w:r>
    </w:p>
    <w:p w14:paraId="30899310" w14:textId="77777777" w:rsidR="00EA3B33" w:rsidRPr="001257C3" w:rsidRDefault="00EA3B33" w:rsidP="001257C3">
      <w:pPr>
        <w:pStyle w:val="ListParagraph"/>
        <w:spacing w:after="120" w:line="276" w:lineRule="auto"/>
        <w:ind w:left="0" w:firstLine="0"/>
        <w:jc w:val="both"/>
        <w:rPr>
          <w:lang w:val="el-GR"/>
        </w:rPr>
      </w:pPr>
    </w:p>
    <w:p w14:paraId="3A252463" w14:textId="18FA6010" w:rsidR="002478EE" w:rsidRPr="001257C3" w:rsidRDefault="00C22135" w:rsidP="001257C3">
      <w:pPr>
        <w:pStyle w:val="ListParagraph"/>
        <w:spacing w:after="120" w:line="276" w:lineRule="auto"/>
        <w:ind w:left="0" w:firstLine="0"/>
        <w:jc w:val="both"/>
        <w:rPr>
          <w:u w:val="single"/>
          <w:lang w:val="el-GR"/>
        </w:rPr>
      </w:pPr>
      <w:r w:rsidRPr="001257C3">
        <w:rPr>
          <w:u w:val="single"/>
          <w:lang w:val="el-GR"/>
        </w:rPr>
        <w:t>Πειράματα ε</w:t>
      </w:r>
      <w:r w:rsidR="002478EE" w:rsidRPr="001257C3">
        <w:rPr>
          <w:u w:val="single"/>
          <w:lang w:val="el-GR"/>
        </w:rPr>
        <w:t>πιβίωση</w:t>
      </w:r>
      <w:r w:rsidRPr="001257C3">
        <w:rPr>
          <w:u w:val="single"/>
          <w:lang w:val="el-GR"/>
        </w:rPr>
        <w:t>ς</w:t>
      </w:r>
      <w:r w:rsidR="002478EE" w:rsidRPr="001257C3">
        <w:rPr>
          <w:u w:val="single"/>
          <w:lang w:val="el-GR"/>
        </w:rPr>
        <w:t xml:space="preserve"> και ωοπαραγωγή</w:t>
      </w:r>
      <w:r w:rsidRPr="001257C3">
        <w:rPr>
          <w:u w:val="single"/>
          <w:lang w:val="el-GR"/>
        </w:rPr>
        <w:t>ς</w:t>
      </w:r>
      <w:r w:rsidR="002478EE" w:rsidRPr="001257C3">
        <w:rPr>
          <w:u w:val="single"/>
          <w:lang w:val="el-GR"/>
        </w:rPr>
        <w:t xml:space="preserve"> του είδους </w:t>
      </w:r>
      <w:r w:rsidR="002478EE" w:rsidRPr="001257C3">
        <w:rPr>
          <w:i/>
          <w:u w:val="single"/>
          <w:lang w:val="el-GR"/>
        </w:rPr>
        <w:t>Tetranychus urticae</w:t>
      </w:r>
    </w:p>
    <w:p w14:paraId="3DF1AD67" w14:textId="07D7EC2E" w:rsidR="002478EE" w:rsidRPr="001257C3" w:rsidRDefault="002478EE" w:rsidP="001257C3">
      <w:pPr>
        <w:pStyle w:val="ListParagraph"/>
        <w:spacing w:after="120" w:line="276" w:lineRule="auto"/>
        <w:ind w:left="0" w:firstLine="0"/>
        <w:jc w:val="both"/>
        <w:rPr>
          <w:lang w:val="el-GR"/>
        </w:rPr>
      </w:pPr>
      <w:r w:rsidRPr="001257C3">
        <w:rPr>
          <w:lang w:val="el-GR"/>
        </w:rPr>
        <w:t xml:space="preserve">Η επίδραση </w:t>
      </w:r>
      <w:r w:rsidR="00CF1421" w:rsidRPr="001257C3">
        <w:rPr>
          <w:lang w:val="el-GR"/>
        </w:rPr>
        <w:t>των διαφορετικών μεταχειρίσεων (πεπτίδιο, μεταβολίτης, μικροοργανισμός)</w:t>
      </w:r>
      <w:r w:rsidRPr="001257C3">
        <w:rPr>
          <w:lang w:val="el-GR"/>
        </w:rPr>
        <w:t xml:space="preserve"> στην επιβίωση και την ωοπαραγωγή μελετήθηκε με την προσβολή των φυτών τομάτας με 45 νεαρά ενήλικα θηλυκά άτομα του ακάρεως. Για την διεξαγωγή </w:t>
      </w:r>
      <w:r w:rsidR="00CF1421" w:rsidRPr="001257C3">
        <w:rPr>
          <w:lang w:val="el-GR"/>
        </w:rPr>
        <w:t>των πειραμάτων</w:t>
      </w:r>
      <w:r w:rsidRPr="001257C3">
        <w:rPr>
          <w:lang w:val="el-GR"/>
        </w:rPr>
        <w:t xml:space="preserve"> χρησιμοποιήθηκαν φυτά ηλικίας 3 εβδομάδων (21 ημέρες από τη μεταφύτευση) που έφεραν καλά αναπτυγμένα φυλλάρια (μέγεθος &gt;4 cm). Η μεταφορά των ατόμων έγινε στα φύλλα L2, L3 και L4 σε συγκεκριμένα φυλλάρια (L2-Lf2, L3-Lf4, L4-Lf3), σε καθένα από τα οποία τοποθετήθηκαν 15 θηλυκά άτομα του ακάρεως. Μετά από 4 ημέρες έγινε καταμέτρηση του αριθμού των ζωντανών ατόμων σε κάθε φυλλάριο καθώς και του αριθμού των αυγών που είχαν αποτεθεί με τη χρήση στερεοσκοπίου. Το πείραμα πραγματοποιήθηκε </w:t>
      </w:r>
      <w:r w:rsidR="00CF1421" w:rsidRPr="001257C3">
        <w:rPr>
          <w:lang w:val="el-GR"/>
        </w:rPr>
        <w:t>2 φορές</w:t>
      </w:r>
      <w:r w:rsidRPr="001257C3">
        <w:rPr>
          <w:lang w:val="el-GR"/>
        </w:rPr>
        <w:t xml:space="preserve"> με 6 επαναλήψεις (φυτά), συνολικά ανά μεταχείριση </w:t>
      </w:r>
      <w:r w:rsidR="00CF1421" w:rsidRPr="001257C3">
        <w:rPr>
          <w:lang w:val="el-GR"/>
        </w:rPr>
        <w:t>σε</w:t>
      </w:r>
      <w:r w:rsidRPr="001257C3">
        <w:rPr>
          <w:lang w:val="el-GR"/>
        </w:rPr>
        <w:t xml:space="preserve"> σταθερές συνθήκες εργαστηρίου 25 ± 2 °C, 16:8 LD.</w:t>
      </w:r>
    </w:p>
    <w:p w14:paraId="6B674049" w14:textId="77777777" w:rsidR="002478EE" w:rsidRPr="001257C3" w:rsidRDefault="002478EE" w:rsidP="001257C3">
      <w:pPr>
        <w:pStyle w:val="ListParagraph"/>
        <w:spacing w:after="120" w:line="276" w:lineRule="auto"/>
        <w:ind w:left="0" w:firstLine="0"/>
        <w:jc w:val="both"/>
        <w:rPr>
          <w:lang w:val="el-GR"/>
        </w:rPr>
      </w:pPr>
    </w:p>
    <w:p w14:paraId="731A3178" w14:textId="7FC17AF2" w:rsidR="002478EE" w:rsidRPr="001257C3" w:rsidRDefault="00C22135" w:rsidP="001257C3">
      <w:pPr>
        <w:pStyle w:val="ListParagraph"/>
        <w:spacing w:after="120" w:line="276" w:lineRule="auto"/>
        <w:ind w:left="0" w:firstLine="0"/>
        <w:jc w:val="both"/>
        <w:rPr>
          <w:u w:val="single"/>
          <w:lang w:val="el-GR"/>
        </w:rPr>
      </w:pPr>
      <w:r w:rsidRPr="001257C3">
        <w:rPr>
          <w:u w:val="single"/>
          <w:lang w:val="el-GR"/>
        </w:rPr>
        <w:t>Πειράματα ε</w:t>
      </w:r>
      <w:r w:rsidR="002478EE" w:rsidRPr="001257C3">
        <w:rPr>
          <w:u w:val="single"/>
          <w:lang w:val="el-GR"/>
        </w:rPr>
        <w:t>πιβίωση</w:t>
      </w:r>
      <w:r w:rsidRPr="001257C3">
        <w:rPr>
          <w:u w:val="single"/>
          <w:lang w:val="el-GR"/>
        </w:rPr>
        <w:t>ς</w:t>
      </w:r>
      <w:r w:rsidR="002478EE" w:rsidRPr="001257C3">
        <w:rPr>
          <w:u w:val="single"/>
          <w:lang w:val="el-GR"/>
        </w:rPr>
        <w:t xml:space="preserve"> και ωοπαραγωγή</w:t>
      </w:r>
      <w:r w:rsidRPr="001257C3">
        <w:rPr>
          <w:u w:val="single"/>
          <w:lang w:val="el-GR"/>
        </w:rPr>
        <w:t>ς</w:t>
      </w:r>
      <w:r w:rsidR="002478EE" w:rsidRPr="001257C3">
        <w:rPr>
          <w:u w:val="single"/>
          <w:lang w:val="el-GR"/>
        </w:rPr>
        <w:t xml:space="preserve"> του είδους </w:t>
      </w:r>
      <w:r w:rsidR="002478EE" w:rsidRPr="001257C3">
        <w:rPr>
          <w:i/>
          <w:u w:val="single"/>
          <w:lang w:val="el-GR"/>
        </w:rPr>
        <w:t>Bemisia tabaci</w:t>
      </w:r>
    </w:p>
    <w:p w14:paraId="4EE8B9A9" w14:textId="4103ABDD" w:rsidR="002478EE" w:rsidRPr="001257C3" w:rsidRDefault="002478EE" w:rsidP="001257C3">
      <w:pPr>
        <w:pStyle w:val="ListParagraph"/>
        <w:spacing w:after="120" w:line="276" w:lineRule="auto"/>
        <w:ind w:left="0" w:firstLine="0"/>
        <w:jc w:val="both"/>
        <w:rPr>
          <w:lang w:val="el-GR"/>
        </w:rPr>
      </w:pPr>
      <w:r w:rsidRPr="001257C3">
        <w:rPr>
          <w:lang w:val="el-GR"/>
        </w:rPr>
        <w:t xml:space="preserve">Η επίδραση </w:t>
      </w:r>
      <w:r w:rsidR="00421AF9" w:rsidRPr="001257C3">
        <w:rPr>
          <w:lang w:val="el-GR"/>
        </w:rPr>
        <w:t xml:space="preserve">των διαφορετικών μεταχειρίσεων (πεπτίδιο, μεταβολίτης, μικροοργανισμός) </w:t>
      </w:r>
      <w:r w:rsidRPr="001257C3">
        <w:rPr>
          <w:lang w:val="el-GR"/>
        </w:rPr>
        <w:t>στην επιβίωση και την ωοπαραγωγή μελετήθηκε με την προσβολή των φυτών τομάτας με 10 ενήλικα θηλυκά άτομα του εντόμου. Η επιλογή των ενήλικων θηλυκών έγινε μέσω αναισθητοποίησης με CO</w:t>
      </w:r>
      <w:r w:rsidRPr="001257C3">
        <w:rPr>
          <w:vertAlign w:val="subscript"/>
          <w:lang w:val="el-GR"/>
        </w:rPr>
        <w:t>2</w:t>
      </w:r>
      <w:r w:rsidRPr="001257C3">
        <w:rPr>
          <w:lang w:val="el-GR"/>
        </w:rPr>
        <w:t xml:space="preserve"> για 8 δευτερόλεπτα. Για την διεξαγωγή του πειράματος χρησιμοποιήθηκαν φυτά ηλικίας 3 εβδομάδων (21 ημέρες από τη μεταφύτευση) που έφεραν καλά αναπτυγμένα φυλλάρια (μέγεθος &gt;4 cm). Σε κάθε φυτό τοποθετήθηκαν 2 clip cages στα φύλλα L2 και L3, σε συγκεκριμένα φυλλάρια (L2-Lf2, L3-Lf4), σε καθένα από τα οποία τοποθετήθηκαν 5 ενήλικα θηλυκά άτομα. Μετά από 5 ημέρες αφαιρέθηκαν τα clip-cages και έγινε καταμέτρηση του αριθμού των ζωντανών ατόμων σε κάθε φυλλάριο καθώς και του αριθμού των αυγών που είχαν αποτεθεί με τη χρήση στερεοσκοπίου. Το πείραμα πραγματοποιήθηκε </w:t>
      </w:r>
      <w:r w:rsidR="00421AF9" w:rsidRPr="001257C3">
        <w:rPr>
          <w:lang w:val="el-GR"/>
        </w:rPr>
        <w:t>2 φορές</w:t>
      </w:r>
      <w:r w:rsidRPr="001257C3">
        <w:rPr>
          <w:lang w:val="el-GR"/>
        </w:rPr>
        <w:t xml:space="preserve"> με 6 επαναλήψεις (φυτά), συνολικά ανά μεταχείριση, </w:t>
      </w:r>
      <w:r w:rsidR="00421AF9" w:rsidRPr="001257C3">
        <w:rPr>
          <w:lang w:val="el-GR"/>
        </w:rPr>
        <w:t>σε</w:t>
      </w:r>
      <w:r w:rsidRPr="001257C3">
        <w:rPr>
          <w:lang w:val="el-GR"/>
        </w:rPr>
        <w:t xml:space="preserve"> σταθερές συνθήκες εργαστηρίου 25 ± 2 °C, 16:8 LD.</w:t>
      </w:r>
    </w:p>
    <w:p w14:paraId="6F802300" w14:textId="2D2B9016" w:rsidR="002478EE" w:rsidRPr="001257C3" w:rsidRDefault="00C22135" w:rsidP="001257C3">
      <w:pPr>
        <w:pStyle w:val="ListParagraph"/>
        <w:spacing w:after="120" w:line="276" w:lineRule="auto"/>
        <w:ind w:left="0" w:firstLine="0"/>
        <w:jc w:val="both"/>
        <w:rPr>
          <w:u w:val="single"/>
          <w:lang w:val="el-GR"/>
        </w:rPr>
      </w:pPr>
      <w:r w:rsidRPr="001257C3">
        <w:rPr>
          <w:u w:val="single"/>
          <w:lang w:val="el-GR"/>
        </w:rPr>
        <w:lastRenderedPageBreak/>
        <w:t>Πειράματα ανάπτυξης</w:t>
      </w:r>
      <w:r w:rsidR="002478EE" w:rsidRPr="001257C3">
        <w:rPr>
          <w:u w:val="single"/>
          <w:lang w:val="el-GR"/>
        </w:rPr>
        <w:t xml:space="preserve"> του είδους </w:t>
      </w:r>
      <w:r w:rsidR="002478EE" w:rsidRPr="001257C3">
        <w:rPr>
          <w:i/>
          <w:u w:val="single"/>
          <w:lang w:val="el-GR"/>
        </w:rPr>
        <w:t>Tuta absoluta</w:t>
      </w:r>
    </w:p>
    <w:p w14:paraId="46012C91" w14:textId="0CB26D06" w:rsidR="003D2F10" w:rsidRPr="00124FBC" w:rsidRDefault="002478EE" w:rsidP="001257C3">
      <w:pPr>
        <w:pStyle w:val="ListParagraph"/>
        <w:spacing w:after="120" w:line="276" w:lineRule="auto"/>
        <w:ind w:left="0" w:firstLine="0"/>
        <w:jc w:val="both"/>
        <w:rPr>
          <w:lang w:val="el-GR"/>
        </w:rPr>
      </w:pPr>
      <w:r w:rsidRPr="001257C3">
        <w:rPr>
          <w:lang w:val="el-GR"/>
        </w:rPr>
        <w:t xml:space="preserve">Η επίδραση </w:t>
      </w:r>
      <w:r w:rsidR="00636E13" w:rsidRPr="001257C3">
        <w:rPr>
          <w:lang w:val="el-GR"/>
        </w:rPr>
        <w:t xml:space="preserve">των διαφορετικών μεταχειρίσεων (πεπτίδιο, μεταβολίτης, μικροοργανισμός) </w:t>
      </w:r>
      <w:r w:rsidRPr="001257C3">
        <w:rPr>
          <w:lang w:val="el-GR"/>
        </w:rPr>
        <w:t xml:space="preserve">στην ανάπτυξη και το βάρος της </w:t>
      </w:r>
      <w:r w:rsidR="003760CF">
        <w:rPr>
          <w:lang w:val="el-GR"/>
        </w:rPr>
        <w:t>νύμφης</w:t>
      </w:r>
      <w:r w:rsidRPr="001257C3">
        <w:rPr>
          <w:lang w:val="el-GR"/>
        </w:rPr>
        <w:t xml:space="preserve"> μελετήθηκε με προσβολή των φυτών τομάτας με 2 αυγά του είδους. </w:t>
      </w:r>
      <w:r w:rsidR="003760CF">
        <w:rPr>
          <w:lang w:val="el-GR"/>
        </w:rPr>
        <w:t>Χ</w:t>
      </w:r>
      <w:r w:rsidRPr="001257C3">
        <w:rPr>
          <w:lang w:val="el-GR"/>
        </w:rPr>
        <w:t xml:space="preserve">ρησιμοποιήθηκαν φυτά ηλικίας 3 εβδομάδων (21 ημέρες από τη μεταφύτευση) </w:t>
      </w:r>
      <w:r w:rsidR="003760CF">
        <w:rPr>
          <w:lang w:val="el-GR"/>
        </w:rPr>
        <w:t>με</w:t>
      </w:r>
      <w:r w:rsidRPr="001257C3">
        <w:rPr>
          <w:lang w:val="el-GR"/>
        </w:rPr>
        <w:t xml:space="preserve"> καλά αναπτυγμένα φυλλάρια (μέγεθος &gt;4 cm). Η μεταφορά των αυγών έγινε στο φύλλο L2 και L3 σε συγκεκριμένα φυλλάρια (L2</w:t>
      </w:r>
      <w:r w:rsidR="00F31292" w:rsidRPr="001257C3">
        <w:rPr>
          <w:lang w:val="el-GR"/>
        </w:rPr>
        <w:t>-</w:t>
      </w:r>
      <w:r w:rsidRPr="001257C3">
        <w:rPr>
          <w:lang w:val="el-GR"/>
        </w:rPr>
        <w:t>Lf2, L3</w:t>
      </w:r>
      <w:r w:rsidR="00F31292" w:rsidRPr="001257C3">
        <w:rPr>
          <w:lang w:val="el-GR"/>
        </w:rPr>
        <w:t>-</w:t>
      </w:r>
      <w:r w:rsidRPr="001257C3">
        <w:rPr>
          <w:lang w:val="el-GR"/>
        </w:rPr>
        <w:t xml:space="preserve">Lf4) σε καθένα από τα οποία τοποθετήθηκε 1 αυγό του </w:t>
      </w:r>
      <w:r w:rsidR="00B56B9C" w:rsidRPr="001257C3">
        <w:rPr>
          <w:lang w:val="el-GR"/>
        </w:rPr>
        <w:t>εντόμου</w:t>
      </w:r>
      <w:r w:rsidRPr="001257C3">
        <w:rPr>
          <w:lang w:val="el-GR"/>
        </w:rPr>
        <w:t xml:space="preserve">. Ακολούθως στο κάθε φυτό τοποθετήθηκε ένας δικτυωτός κλωβός. Κάθε μέρα γινόταν καταγραφή του σταδίου ανάπτυξης στο κάθε φυτό μέχρι το στάδιο της </w:t>
      </w:r>
      <w:r w:rsidR="00B56B9C" w:rsidRPr="001257C3">
        <w:rPr>
          <w:lang w:val="el-GR"/>
        </w:rPr>
        <w:t xml:space="preserve">νύμφης </w:t>
      </w:r>
      <w:r w:rsidRPr="001257C3">
        <w:rPr>
          <w:lang w:val="el-GR"/>
        </w:rPr>
        <w:t xml:space="preserve">και του ενηλίκου. Στο στάδιο της pupa πραγματοποιήθηκε </w:t>
      </w:r>
      <w:r w:rsidR="00B56B9C" w:rsidRPr="001257C3">
        <w:rPr>
          <w:lang w:val="el-GR"/>
        </w:rPr>
        <w:t>καταγραφή</w:t>
      </w:r>
      <w:r w:rsidRPr="001257C3">
        <w:rPr>
          <w:lang w:val="el-GR"/>
        </w:rPr>
        <w:t xml:space="preserve"> του βάρους και στη συνέχεια κάθε </w:t>
      </w:r>
      <w:r w:rsidR="00B56B9C" w:rsidRPr="001257C3">
        <w:rPr>
          <w:lang w:val="el-GR"/>
        </w:rPr>
        <w:t>νύμφη</w:t>
      </w:r>
      <w:r w:rsidRPr="001257C3">
        <w:rPr>
          <w:lang w:val="el-GR"/>
        </w:rPr>
        <w:t xml:space="preserve"> τοποθετήθηκε σε πλαστικά κουτιά με καπάκι </w:t>
      </w:r>
      <w:r w:rsidR="00B56B9C" w:rsidRPr="001257C3">
        <w:rPr>
          <w:lang w:val="el-GR"/>
        </w:rPr>
        <w:t>που</w:t>
      </w:r>
      <w:r w:rsidRPr="001257C3">
        <w:rPr>
          <w:lang w:val="el-GR"/>
        </w:rPr>
        <w:t xml:space="preserve"> έφερε ενσωματωμένο εντομοστεγές ύφασμα για την εξασφάλιση επαρκούς αερισμού. Επιπλέον</w:t>
      </w:r>
      <w:r w:rsidR="00B56B9C" w:rsidRPr="001257C3">
        <w:rPr>
          <w:lang w:val="el-GR"/>
        </w:rPr>
        <w:t>,</w:t>
      </w:r>
      <w:r w:rsidRPr="001257C3">
        <w:rPr>
          <w:lang w:val="el-GR"/>
        </w:rPr>
        <w:t xml:space="preserve"> στο κάθε κουτί προστέθηκε ένα κομμάτι βαμβακιού εμποτισμένο με νερό για τη εξασφάλιση </w:t>
      </w:r>
      <w:r w:rsidR="00B56B9C" w:rsidRPr="001257C3">
        <w:rPr>
          <w:lang w:val="el-GR"/>
        </w:rPr>
        <w:t xml:space="preserve">της </w:t>
      </w:r>
      <w:r w:rsidRPr="001257C3">
        <w:rPr>
          <w:lang w:val="el-GR"/>
        </w:rPr>
        <w:t xml:space="preserve">απαραίτητης υγρασίας. </w:t>
      </w:r>
      <w:r w:rsidR="00B56B9C" w:rsidRPr="001257C3">
        <w:rPr>
          <w:lang w:val="el-GR"/>
        </w:rPr>
        <w:t>Με την ενηλικίωση</w:t>
      </w:r>
      <w:r w:rsidRPr="001257C3">
        <w:rPr>
          <w:lang w:val="el-GR"/>
        </w:rPr>
        <w:t xml:space="preserve"> προστέθηκε ένα κομμάτι </w:t>
      </w:r>
      <w:r w:rsidR="00B56B9C" w:rsidRPr="001257C3">
        <w:rPr>
          <w:lang w:val="el-GR"/>
        </w:rPr>
        <w:t>βάμβακος</w:t>
      </w:r>
      <w:r w:rsidRPr="001257C3">
        <w:rPr>
          <w:lang w:val="el-GR"/>
        </w:rPr>
        <w:t xml:space="preserve"> εμποτισμένο με ζαχαρόνερο ως πηγή τροφής. </w:t>
      </w:r>
      <w:r w:rsidR="00124FBC">
        <w:rPr>
          <w:lang w:val="el-GR"/>
        </w:rPr>
        <w:t>Τα πειράματα</w:t>
      </w:r>
      <w:r w:rsidRPr="001257C3">
        <w:rPr>
          <w:lang w:val="el-GR"/>
        </w:rPr>
        <w:t xml:space="preserve"> πραγματοποιήθηκ</w:t>
      </w:r>
      <w:r w:rsidR="00124FBC">
        <w:rPr>
          <w:lang w:val="el-GR"/>
        </w:rPr>
        <w:t>αν</w:t>
      </w:r>
      <w:r w:rsidRPr="001257C3">
        <w:rPr>
          <w:lang w:val="el-GR"/>
        </w:rPr>
        <w:t xml:space="preserve"> </w:t>
      </w:r>
      <w:r w:rsidR="00B56B9C" w:rsidRPr="001257C3">
        <w:rPr>
          <w:lang w:val="el-GR"/>
        </w:rPr>
        <w:t>2 φορές</w:t>
      </w:r>
      <w:r w:rsidRPr="001257C3">
        <w:rPr>
          <w:lang w:val="el-GR"/>
        </w:rPr>
        <w:t xml:space="preserve"> με 6 επαναλήψεις (φυτά), συνολικά ανά μεταχείριση, </w:t>
      </w:r>
      <w:r w:rsidR="00B56B9C" w:rsidRPr="001257C3">
        <w:rPr>
          <w:lang w:val="el-GR"/>
        </w:rPr>
        <w:t>σε</w:t>
      </w:r>
      <w:r w:rsidRPr="001257C3">
        <w:rPr>
          <w:lang w:val="el-GR"/>
        </w:rPr>
        <w:t xml:space="preserve"> σταθερές συνθήκες εργαστηρίου 25 ± 2 °C, 16:8 LD.</w:t>
      </w:r>
      <w:r w:rsidR="00124FBC">
        <w:rPr>
          <w:lang w:val="el-GR"/>
        </w:rPr>
        <w:t xml:space="preserve"> Ειδικότερα, όσον αφορά στις επιδράσεις μικροοργανισμών, για αυτόν τον φυτοφάγο εχθρό, οργανώθηκε και μία ομάδα πειραμάτων στην οποία μελετήθηκαν οι επιδράσεις δύο ακόμη μικροοργανισμών</w:t>
      </w:r>
      <w:r w:rsidR="00145598">
        <w:rPr>
          <w:lang w:val="el-GR"/>
        </w:rPr>
        <w:t xml:space="preserve">, συγκεκριμένα των </w:t>
      </w:r>
      <w:r w:rsidR="00145598" w:rsidRPr="00145598">
        <w:rPr>
          <w:i/>
          <w:lang w:val="el-GR"/>
        </w:rPr>
        <w:t>Trichoderma harzianum</w:t>
      </w:r>
      <w:r w:rsidR="00145598" w:rsidRPr="00145598">
        <w:rPr>
          <w:lang w:val="el-GR"/>
        </w:rPr>
        <w:t xml:space="preserve"> T22</w:t>
      </w:r>
      <w:r w:rsidR="00145598">
        <w:rPr>
          <w:lang w:val="el-GR"/>
        </w:rPr>
        <w:t xml:space="preserve"> και</w:t>
      </w:r>
      <w:r w:rsidR="00145598" w:rsidRPr="00145598">
        <w:rPr>
          <w:lang w:val="el-GR"/>
        </w:rPr>
        <w:t xml:space="preserve"> </w:t>
      </w:r>
      <w:r w:rsidR="00145598" w:rsidRPr="00145598">
        <w:rPr>
          <w:i/>
          <w:lang w:val="el-GR"/>
        </w:rPr>
        <w:t>T. asperellum</w:t>
      </w:r>
      <w:r w:rsidR="00145598" w:rsidRPr="00145598">
        <w:rPr>
          <w:lang w:val="el-GR"/>
        </w:rPr>
        <w:t xml:space="preserve"> T34</w:t>
      </w:r>
      <w:r w:rsidR="00145598">
        <w:rPr>
          <w:lang w:val="el-GR"/>
        </w:rPr>
        <w:t>,</w:t>
      </w:r>
      <w:r w:rsidR="00145598" w:rsidRPr="00145598">
        <w:rPr>
          <w:lang w:val="el-GR"/>
        </w:rPr>
        <w:t xml:space="preserve"> </w:t>
      </w:r>
      <w:r w:rsidR="00124FBC">
        <w:rPr>
          <w:lang w:val="el-GR"/>
        </w:rPr>
        <w:t xml:space="preserve">πέραν του </w:t>
      </w:r>
      <w:r w:rsidR="00124FBC" w:rsidRPr="00124FBC">
        <w:rPr>
          <w:i/>
          <w:lang w:val="en-US"/>
        </w:rPr>
        <w:t>R</w:t>
      </w:r>
      <w:r w:rsidR="00124FBC" w:rsidRPr="00124FBC">
        <w:rPr>
          <w:i/>
          <w:lang w:val="el-GR"/>
        </w:rPr>
        <w:t xml:space="preserve">. </w:t>
      </w:r>
      <w:r w:rsidR="00124FBC" w:rsidRPr="00124FBC">
        <w:rPr>
          <w:i/>
          <w:lang w:val="en-US"/>
        </w:rPr>
        <w:t>irregularis</w:t>
      </w:r>
      <w:r w:rsidR="00124FBC" w:rsidRPr="00124FBC">
        <w:rPr>
          <w:lang w:val="el-GR"/>
        </w:rPr>
        <w:t xml:space="preserve"> </w:t>
      </w:r>
      <w:r w:rsidR="00124FBC">
        <w:rPr>
          <w:lang w:val="en-US"/>
        </w:rPr>
        <w:t>QS</w:t>
      </w:r>
      <w:r w:rsidR="00124FBC" w:rsidRPr="00124FBC">
        <w:rPr>
          <w:lang w:val="el-GR"/>
        </w:rPr>
        <w:t>69.</w:t>
      </w:r>
    </w:p>
    <w:p w14:paraId="4A4CB505" w14:textId="5144A187" w:rsidR="00E26175" w:rsidRDefault="00E26175">
      <w:pPr>
        <w:rPr>
          <w:lang w:val="el-GR"/>
        </w:rPr>
      </w:pPr>
      <w:r>
        <w:rPr>
          <w:lang w:val="el-GR"/>
        </w:rPr>
        <w:br w:type="page"/>
      </w:r>
    </w:p>
    <w:p w14:paraId="781DEA16" w14:textId="2C03AFEC" w:rsidR="0055397F" w:rsidRPr="001257C3" w:rsidDel="00C01458" w:rsidRDefault="58DCA531" w:rsidP="001257C3">
      <w:pPr>
        <w:pStyle w:val="Heading1"/>
        <w:numPr>
          <w:ilvl w:val="1"/>
          <w:numId w:val="3"/>
        </w:numPr>
        <w:spacing w:after="120" w:line="276" w:lineRule="auto"/>
        <w:ind w:left="567" w:hanging="567"/>
        <w:jc w:val="both"/>
        <w:rPr>
          <w:sz w:val="22"/>
          <w:szCs w:val="22"/>
          <w:lang w:val="el-GR"/>
        </w:rPr>
      </w:pPr>
      <w:r w:rsidRPr="001257C3">
        <w:rPr>
          <w:sz w:val="22"/>
          <w:szCs w:val="22"/>
        </w:rPr>
        <w:lastRenderedPageBreak/>
        <w:t>Απ</w:t>
      </w:r>
      <w:proofErr w:type="spellStart"/>
      <w:r w:rsidRPr="001257C3">
        <w:rPr>
          <w:sz w:val="22"/>
          <w:szCs w:val="22"/>
        </w:rPr>
        <w:t>οτελέσμ</w:t>
      </w:r>
      <w:proofErr w:type="spellEnd"/>
      <w:r w:rsidRPr="001257C3">
        <w:rPr>
          <w:sz w:val="22"/>
          <w:szCs w:val="22"/>
        </w:rPr>
        <w:t xml:space="preserve">ατα και </w:t>
      </w:r>
      <w:proofErr w:type="spellStart"/>
      <w:r w:rsidRPr="001257C3">
        <w:rPr>
          <w:sz w:val="22"/>
          <w:szCs w:val="22"/>
        </w:rPr>
        <w:t>Συζήτηση</w:t>
      </w:r>
      <w:bookmarkEnd w:id="3"/>
      <w:proofErr w:type="spellEnd"/>
    </w:p>
    <w:p w14:paraId="2AF4C6A3" w14:textId="3263D2A9" w:rsidR="00A53840" w:rsidRPr="009F2E5A" w:rsidRDefault="009E3420" w:rsidP="001257C3">
      <w:pPr>
        <w:pStyle w:val="ListParagraph"/>
        <w:spacing w:after="120" w:line="276" w:lineRule="auto"/>
        <w:ind w:left="0" w:firstLine="0"/>
        <w:jc w:val="both"/>
        <w:rPr>
          <w:u w:val="single"/>
          <w:lang w:val="el-GR"/>
        </w:rPr>
      </w:pPr>
      <w:bookmarkStart w:id="4" w:name="_Hlk217753296"/>
      <w:r w:rsidRPr="009F2E5A">
        <w:rPr>
          <w:u w:val="single"/>
          <w:lang w:val="el-GR"/>
        </w:rPr>
        <w:t xml:space="preserve">Επιδράσεις </w:t>
      </w:r>
      <w:r w:rsidR="00C866DB" w:rsidRPr="009F2E5A">
        <w:rPr>
          <w:u w:val="single"/>
          <w:lang w:val="el-GR"/>
        </w:rPr>
        <w:t>στο</w:t>
      </w:r>
      <w:r w:rsidR="00795FC6" w:rsidRPr="009F2E5A">
        <w:rPr>
          <w:u w:val="single"/>
          <w:lang w:val="el-GR"/>
        </w:rPr>
        <w:t xml:space="preserve"> φυτοφάγο άκαρι</w:t>
      </w:r>
      <w:r w:rsidR="00CF1421" w:rsidRPr="009F2E5A">
        <w:rPr>
          <w:u w:val="single"/>
          <w:lang w:val="el-GR"/>
        </w:rPr>
        <w:t xml:space="preserve"> </w:t>
      </w:r>
      <w:r w:rsidR="00A53840" w:rsidRPr="009F2E5A">
        <w:rPr>
          <w:rFonts w:cs="Times New Roman"/>
          <w:bCs/>
          <w:i/>
          <w:iCs/>
          <w:u w:val="single"/>
          <w:lang w:val="en-US"/>
        </w:rPr>
        <w:t>Tetranychus</w:t>
      </w:r>
      <w:r w:rsidR="00A53840" w:rsidRPr="009F2E5A">
        <w:rPr>
          <w:rFonts w:cs="Times New Roman"/>
          <w:bCs/>
          <w:i/>
          <w:iCs/>
          <w:u w:val="single"/>
          <w:lang w:val="el-GR"/>
        </w:rPr>
        <w:t xml:space="preserve"> </w:t>
      </w:r>
      <w:r w:rsidR="00A53840" w:rsidRPr="009F2E5A">
        <w:rPr>
          <w:rFonts w:cs="Times New Roman"/>
          <w:bCs/>
          <w:i/>
          <w:iCs/>
          <w:u w:val="single"/>
          <w:lang w:val="en-US"/>
        </w:rPr>
        <w:t>urticae</w:t>
      </w:r>
    </w:p>
    <w:p w14:paraId="1CB05B39" w14:textId="73FD2081" w:rsidR="00795FC6" w:rsidRPr="0008194A" w:rsidRDefault="007B7882" w:rsidP="001257C3">
      <w:pPr>
        <w:spacing w:after="120" w:line="276" w:lineRule="auto"/>
        <w:jc w:val="both"/>
        <w:rPr>
          <w:rFonts w:cs="Times New Roman"/>
          <w:lang w:val="el-GR"/>
        </w:rPr>
      </w:pPr>
      <w:r>
        <w:rPr>
          <w:rFonts w:cs="Times New Roman"/>
          <w:lang w:val="el-GR"/>
        </w:rPr>
        <w:t xml:space="preserve">Από </w:t>
      </w:r>
      <w:r w:rsidR="00A97ADD">
        <w:rPr>
          <w:rFonts w:cs="Times New Roman"/>
          <w:lang w:val="el-GR"/>
        </w:rPr>
        <w:t>αποτελέσματα</w:t>
      </w:r>
      <w:r>
        <w:rPr>
          <w:rFonts w:cs="Times New Roman"/>
          <w:lang w:val="el-GR"/>
        </w:rPr>
        <w:t xml:space="preserve"> φαίνεται ότι</w:t>
      </w:r>
      <w:r w:rsidRPr="007B7882">
        <w:rPr>
          <w:rFonts w:cs="Times New Roman"/>
          <w:lang w:val="el-GR"/>
        </w:rPr>
        <w:t xml:space="preserve"> ο μέσος αριθμός αυγών του </w:t>
      </w:r>
      <w:r>
        <w:rPr>
          <w:rFonts w:cs="Times New Roman"/>
          <w:lang w:val="el-GR"/>
        </w:rPr>
        <w:t>τετράνυχου</w:t>
      </w:r>
      <w:r w:rsidRPr="007B7882">
        <w:rPr>
          <w:rFonts w:cs="Times New Roman"/>
          <w:lang w:val="el-GR"/>
        </w:rPr>
        <w:t xml:space="preserve"> ανά φυτό είναι σημαντικά </w:t>
      </w:r>
      <w:r w:rsidR="0008194A">
        <w:rPr>
          <w:rFonts w:cs="Times New Roman"/>
          <w:lang w:val="el-GR"/>
        </w:rPr>
        <w:t>μεγαλύτερος</w:t>
      </w:r>
      <w:r w:rsidRPr="007B7882">
        <w:rPr>
          <w:rFonts w:cs="Times New Roman"/>
          <w:lang w:val="el-GR"/>
        </w:rPr>
        <w:t xml:space="preserve"> στον μάρτυρα σε σύγκριση με όλες τις μεταχειρίσεις. Και οι τρεις εφαρμογές (QS69, trehalose και systemin) </w:t>
      </w:r>
      <w:r w:rsidR="0008194A">
        <w:rPr>
          <w:rFonts w:cs="Times New Roman"/>
          <w:lang w:val="el-GR"/>
        </w:rPr>
        <w:t xml:space="preserve">είχαν ως </w:t>
      </w:r>
      <w:r w:rsidR="0008194A" w:rsidRPr="0008194A">
        <w:rPr>
          <w:rFonts w:cs="Times New Roman"/>
          <w:lang w:val="el-GR"/>
        </w:rPr>
        <w:t>αποτέλεσμα</w:t>
      </w:r>
      <w:r w:rsidRPr="0008194A">
        <w:rPr>
          <w:rFonts w:cs="Times New Roman"/>
          <w:lang w:val="el-GR"/>
        </w:rPr>
        <w:t xml:space="preserve"> </w:t>
      </w:r>
      <w:r w:rsidR="0008194A" w:rsidRPr="0008194A">
        <w:rPr>
          <w:rFonts w:cs="Times New Roman"/>
          <w:lang w:val="el-GR"/>
        </w:rPr>
        <w:t>τη</w:t>
      </w:r>
      <w:r w:rsidRPr="0008194A">
        <w:rPr>
          <w:rFonts w:cs="Times New Roman"/>
          <w:lang w:val="el-GR"/>
        </w:rPr>
        <w:t xml:space="preserve"> μείωση της ωοτοκίας, υποδεικνύοντας </w:t>
      </w:r>
      <w:r w:rsidR="0008194A" w:rsidRPr="0008194A">
        <w:rPr>
          <w:rFonts w:cs="Times New Roman"/>
          <w:lang w:val="el-GR"/>
        </w:rPr>
        <w:t>αποτελεσματικότητα</w:t>
      </w:r>
      <w:r w:rsidRPr="0008194A">
        <w:rPr>
          <w:rFonts w:cs="Times New Roman"/>
          <w:lang w:val="el-GR"/>
        </w:rPr>
        <w:t xml:space="preserve"> έναντι του </w:t>
      </w:r>
      <w:r w:rsidR="0008194A" w:rsidRPr="0008194A">
        <w:rPr>
          <w:rFonts w:cs="Times New Roman"/>
          <w:lang w:val="el-GR"/>
        </w:rPr>
        <w:t>τετράνυχου (Εικόνα 1)</w:t>
      </w:r>
      <w:r w:rsidRPr="0008194A">
        <w:rPr>
          <w:rFonts w:cs="Times New Roman"/>
          <w:lang w:val="el-GR"/>
        </w:rPr>
        <w:t>.</w:t>
      </w:r>
      <w:r w:rsidR="0008194A" w:rsidRPr="0008194A">
        <w:rPr>
          <w:rFonts w:cs="Times New Roman"/>
          <w:lang w:val="el-GR"/>
        </w:rPr>
        <w:t xml:space="preserve"> Δεν παρατηρήθηκαν στατιστικώς σημαντικές διαφορές στην επιβίωση των ενήλικων θηλυκών ατόμων του τετράνυχου στα φυτά των διαφορετικών μεταχειρίσεων.</w:t>
      </w:r>
    </w:p>
    <w:p w14:paraId="5569DEEB" w14:textId="207A7A9E" w:rsidR="00795FC6" w:rsidRPr="001257C3" w:rsidDel="00C01458" w:rsidRDefault="00795FC6" w:rsidP="00684F68">
      <w:pPr>
        <w:spacing w:after="120" w:line="276" w:lineRule="auto"/>
        <w:jc w:val="center"/>
        <w:rPr>
          <w:rFonts w:cs="Times New Roman"/>
          <w:lang w:val="el-GR"/>
        </w:rPr>
      </w:pPr>
      <w:r w:rsidRPr="001257C3">
        <w:rPr>
          <w:noProof/>
        </w:rPr>
        <w:drawing>
          <wp:inline distT="0" distB="0" distL="0" distR="0" wp14:anchorId="7B6689A5" wp14:editId="27246B5C">
            <wp:extent cx="3424256" cy="2057400"/>
            <wp:effectExtent l="0" t="0" r="5080" b="0"/>
            <wp:docPr id="240711515"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1151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444127" cy="2069339"/>
                    </a:xfrm>
                    <a:prstGeom prst="rect">
                      <a:avLst/>
                    </a:prstGeom>
                  </pic:spPr>
                </pic:pic>
              </a:graphicData>
            </a:graphic>
          </wp:inline>
        </w:drawing>
      </w:r>
    </w:p>
    <w:p w14:paraId="48EE28A4" w14:textId="3ECAC286" w:rsidR="58DCA531" w:rsidRPr="001257C3" w:rsidRDefault="00A53840" w:rsidP="001257C3">
      <w:pPr>
        <w:spacing w:after="120" w:line="276" w:lineRule="auto"/>
        <w:jc w:val="both"/>
        <w:rPr>
          <w:rFonts w:cs="Times New Roman"/>
          <w:i/>
          <w:lang w:val="el-GR"/>
        </w:rPr>
      </w:pPr>
      <w:r w:rsidRPr="001257C3">
        <w:rPr>
          <w:rFonts w:cs="Times New Roman"/>
          <w:b/>
          <w:i/>
          <w:lang w:val="el-GR"/>
        </w:rPr>
        <w:t xml:space="preserve">Εικόνα </w:t>
      </w:r>
      <w:r w:rsidR="00795FC6" w:rsidRPr="001257C3">
        <w:rPr>
          <w:rFonts w:cs="Times New Roman"/>
          <w:b/>
          <w:i/>
          <w:lang w:val="el-GR"/>
        </w:rPr>
        <w:t>1</w:t>
      </w:r>
      <w:r w:rsidRPr="001257C3">
        <w:rPr>
          <w:rFonts w:cs="Times New Roman"/>
          <w:b/>
          <w:i/>
          <w:lang w:val="el-GR"/>
        </w:rPr>
        <w:t>.</w:t>
      </w:r>
      <w:r w:rsidRPr="001257C3">
        <w:rPr>
          <w:rFonts w:cs="Times New Roman"/>
          <w:i/>
          <w:lang w:val="el-GR"/>
        </w:rPr>
        <w:t xml:space="preserve"> </w:t>
      </w:r>
      <w:r w:rsidR="00951B6E" w:rsidRPr="001257C3">
        <w:rPr>
          <w:rFonts w:cs="Times New Roman"/>
          <w:i/>
          <w:lang w:val="el-GR"/>
        </w:rPr>
        <w:t>Αριθμός αυγών</w:t>
      </w:r>
      <w:r w:rsidR="00795FC6" w:rsidRPr="001257C3">
        <w:rPr>
          <w:rFonts w:cs="Times New Roman"/>
          <w:i/>
          <w:lang w:val="el-GR"/>
        </w:rPr>
        <w:t xml:space="preserve"> του τετράνυχου </w:t>
      </w:r>
      <w:r w:rsidR="00795FC6" w:rsidRPr="001257C3">
        <w:rPr>
          <w:rFonts w:cs="Times New Roman"/>
          <w:lang w:val="el-GR"/>
        </w:rPr>
        <w:t>T. urticae</w:t>
      </w:r>
      <w:r w:rsidR="00795FC6" w:rsidRPr="001257C3">
        <w:rPr>
          <w:rFonts w:cs="Times New Roman"/>
          <w:i/>
          <w:lang w:val="el-GR"/>
        </w:rPr>
        <w:t xml:space="preserve"> σε φυτά μάρτυρα, φυτά εμβολιασμένα με τον μικροοργανισμό R. irregularis QS69,τον μεταβολίτη trehalose και το πεπτιδίο systemin.</w:t>
      </w:r>
    </w:p>
    <w:p w14:paraId="6EEA286B" w14:textId="0395709D" w:rsidR="58DCA531" w:rsidRPr="001257C3" w:rsidRDefault="58DCA531" w:rsidP="001257C3">
      <w:pPr>
        <w:spacing w:after="120" w:line="276" w:lineRule="auto"/>
        <w:rPr>
          <w:lang w:val="el-GR"/>
        </w:rPr>
      </w:pPr>
    </w:p>
    <w:p w14:paraId="315DBA2B" w14:textId="2F8FCB9A" w:rsidR="00BC56EB" w:rsidRPr="009F2E5A" w:rsidRDefault="00795FC6" w:rsidP="001257C3">
      <w:pPr>
        <w:spacing w:after="120" w:line="276" w:lineRule="auto"/>
        <w:jc w:val="both"/>
        <w:rPr>
          <w:rFonts w:cs="Times New Roman"/>
          <w:bCs/>
          <w:iCs/>
          <w:u w:val="single"/>
          <w:lang w:val="el-GR"/>
        </w:rPr>
      </w:pPr>
      <w:r w:rsidRPr="009F2E5A">
        <w:rPr>
          <w:rFonts w:cs="Times New Roman"/>
          <w:bCs/>
          <w:iCs/>
          <w:u w:val="single"/>
          <w:lang w:val="el-GR"/>
        </w:rPr>
        <w:t xml:space="preserve">Επιδράσεις στο φυτοφάγο έντομο </w:t>
      </w:r>
      <w:r w:rsidR="00BC56EB" w:rsidRPr="009F2E5A">
        <w:rPr>
          <w:rFonts w:cs="Times New Roman"/>
          <w:bCs/>
          <w:i/>
          <w:iCs/>
          <w:u w:val="single"/>
          <w:lang w:val="en-US"/>
        </w:rPr>
        <w:t>Bemisia</w:t>
      </w:r>
      <w:r w:rsidR="00BC56EB" w:rsidRPr="009F2E5A">
        <w:rPr>
          <w:rFonts w:cs="Times New Roman"/>
          <w:bCs/>
          <w:i/>
          <w:iCs/>
          <w:u w:val="single"/>
          <w:lang w:val="el-GR"/>
        </w:rPr>
        <w:t xml:space="preserve"> </w:t>
      </w:r>
      <w:r w:rsidR="00BC56EB" w:rsidRPr="009F2E5A">
        <w:rPr>
          <w:rFonts w:cs="Times New Roman"/>
          <w:bCs/>
          <w:i/>
          <w:iCs/>
          <w:u w:val="single"/>
          <w:lang w:val="en-US"/>
        </w:rPr>
        <w:t>tabaci</w:t>
      </w:r>
    </w:p>
    <w:p w14:paraId="691304F2" w14:textId="22A313FC" w:rsidR="009E7A7C" w:rsidRPr="0008194A" w:rsidRDefault="009E7A7C" w:rsidP="009E7A7C">
      <w:pPr>
        <w:spacing w:after="120" w:line="276" w:lineRule="auto"/>
        <w:jc w:val="both"/>
        <w:rPr>
          <w:rFonts w:cs="Times New Roman"/>
          <w:lang w:val="el-GR"/>
        </w:rPr>
      </w:pPr>
      <w:r>
        <w:rPr>
          <w:rFonts w:cs="Times New Roman"/>
          <w:lang w:val="el-GR"/>
        </w:rPr>
        <w:t>Ο μέσος</w:t>
      </w:r>
      <w:r w:rsidRPr="009E7A7C">
        <w:rPr>
          <w:rFonts w:cs="Times New Roman"/>
          <w:lang w:val="el-GR"/>
        </w:rPr>
        <w:t xml:space="preserve"> αριθμός αυγών</w:t>
      </w:r>
      <w:r>
        <w:rPr>
          <w:rFonts w:cs="Times New Roman"/>
          <w:lang w:val="el-GR"/>
        </w:rPr>
        <w:t xml:space="preserve"> αλευρώδη</w:t>
      </w:r>
      <w:r w:rsidRPr="009E7A7C">
        <w:rPr>
          <w:rFonts w:cs="Times New Roman"/>
          <w:lang w:val="el-GR"/>
        </w:rPr>
        <w:t xml:space="preserve"> ανά φυτό </w:t>
      </w:r>
      <w:r>
        <w:rPr>
          <w:rFonts w:cs="Times New Roman"/>
          <w:lang w:val="el-GR"/>
        </w:rPr>
        <w:t>ήταν</w:t>
      </w:r>
      <w:r w:rsidRPr="009E7A7C">
        <w:rPr>
          <w:rFonts w:cs="Times New Roman"/>
          <w:lang w:val="el-GR"/>
        </w:rPr>
        <w:t xml:space="preserve"> υψηλότερος </w:t>
      </w:r>
      <w:r>
        <w:rPr>
          <w:rFonts w:cs="Times New Roman"/>
          <w:lang w:val="el-GR"/>
        </w:rPr>
        <w:t>στα φυτά του μάρτυρα</w:t>
      </w:r>
      <w:r w:rsidRPr="009E7A7C">
        <w:rPr>
          <w:rFonts w:cs="Times New Roman"/>
          <w:lang w:val="el-GR"/>
        </w:rPr>
        <w:t xml:space="preserve"> σε σύγκριση με όλες τις μεταχειρίσεις</w:t>
      </w:r>
      <w:r>
        <w:rPr>
          <w:rFonts w:cs="Times New Roman"/>
          <w:lang w:val="el-GR"/>
        </w:rPr>
        <w:t xml:space="preserve"> (Εικόνα 2)</w:t>
      </w:r>
      <w:r w:rsidRPr="009E7A7C">
        <w:rPr>
          <w:rFonts w:cs="Times New Roman"/>
          <w:lang w:val="el-GR"/>
        </w:rPr>
        <w:t xml:space="preserve">. Η εφαρμογή των QS69, trehalose και systemin οδήγησε σε μείωση της ωοτοκίας, γεγονός που υποδηλώνει αρνητική επίδραση των μεταχειρίσεων στην </w:t>
      </w:r>
      <w:r>
        <w:rPr>
          <w:rFonts w:cs="Times New Roman"/>
          <w:lang w:val="el-GR"/>
        </w:rPr>
        <w:t>ωοπαραγωγή</w:t>
      </w:r>
      <w:r w:rsidRPr="009E7A7C">
        <w:rPr>
          <w:rFonts w:cs="Times New Roman"/>
          <w:lang w:val="el-GR"/>
        </w:rPr>
        <w:t xml:space="preserve"> του εντόμου. </w:t>
      </w:r>
      <w:r w:rsidRPr="0008194A">
        <w:rPr>
          <w:rFonts w:cs="Times New Roman"/>
          <w:lang w:val="el-GR"/>
        </w:rPr>
        <w:t xml:space="preserve">Δεν παρατηρήθηκαν στατιστικώς σημαντικές διαφορές στην επιβίωση των ενήλικων θηλυκών ατόμων του </w:t>
      </w:r>
      <w:r>
        <w:rPr>
          <w:rFonts w:cs="Times New Roman"/>
          <w:lang w:val="el-GR"/>
        </w:rPr>
        <w:t>αλευρώδη</w:t>
      </w:r>
      <w:r w:rsidRPr="0008194A">
        <w:rPr>
          <w:rFonts w:cs="Times New Roman"/>
          <w:lang w:val="el-GR"/>
        </w:rPr>
        <w:t xml:space="preserve"> στα φυτά των διαφορετικών μεταχειρίσεων.</w:t>
      </w:r>
    </w:p>
    <w:p w14:paraId="69ECA61D" w14:textId="1164F4E1" w:rsidR="00BC56EB" w:rsidRPr="001257C3" w:rsidRDefault="00951B6E" w:rsidP="00684F68">
      <w:pPr>
        <w:spacing w:after="120" w:line="276" w:lineRule="auto"/>
        <w:jc w:val="center"/>
        <w:rPr>
          <w:rFonts w:cs="Times New Roman"/>
          <w:bCs/>
        </w:rPr>
      </w:pPr>
      <w:r w:rsidRPr="001257C3">
        <w:rPr>
          <w:noProof/>
        </w:rPr>
        <w:drawing>
          <wp:inline distT="0" distB="0" distL="0" distR="0" wp14:anchorId="094613BE" wp14:editId="7F9EC13D">
            <wp:extent cx="3136900" cy="1993900"/>
            <wp:effectExtent l="0" t="0" r="6350" b="6350"/>
            <wp:docPr id="1144435214" name="Γράφημα 1">
              <a:extLst xmlns:a="http://schemas.openxmlformats.org/drawingml/2006/main">
                <a:ext uri="{FF2B5EF4-FFF2-40B4-BE49-F238E27FC236}">
                  <a16:creationId xmlns:a16="http://schemas.microsoft.com/office/drawing/2014/main" id="{1FFDD91F-8057-5A7F-A284-9F83EF6C4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812A21" w14:textId="77777777" w:rsidR="006E236D" w:rsidRPr="001257C3" w:rsidRDefault="00BC56EB" w:rsidP="006E236D">
      <w:pPr>
        <w:spacing w:after="120" w:line="276" w:lineRule="auto"/>
        <w:jc w:val="both"/>
        <w:rPr>
          <w:rFonts w:cs="Times New Roman"/>
          <w:i/>
          <w:iCs/>
          <w:lang w:val="el-GR"/>
        </w:rPr>
      </w:pPr>
      <w:r w:rsidRPr="006E236D">
        <w:rPr>
          <w:rFonts w:cs="Times New Roman"/>
          <w:b/>
          <w:i/>
          <w:lang w:val="el-GR"/>
        </w:rPr>
        <w:t xml:space="preserve">Εικόνα </w:t>
      </w:r>
      <w:r w:rsidR="00951B6E" w:rsidRPr="006E236D">
        <w:rPr>
          <w:rFonts w:cs="Times New Roman"/>
          <w:b/>
          <w:i/>
          <w:lang w:val="el-GR"/>
        </w:rPr>
        <w:t>2</w:t>
      </w:r>
      <w:r w:rsidRPr="006E236D">
        <w:rPr>
          <w:rFonts w:cs="Times New Roman"/>
          <w:b/>
          <w:i/>
          <w:lang w:val="el-GR"/>
        </w:rPr>
        <w:t>.</w:t>
      </w:r>
      <w:r w:rsidRPr="006E236D">
        <w:rPr>
          <w:rFonts w:cs="Times New Roman"/>
          <w:i/>
          <w:lang w:val="el-GR"/>
        </w:rPr>
        <w:t xml:space="preserve"> </w:t>
      </w:r>
      <w:r w:rsidR="00951B6E" w:rsidRPr="006E236D">
        <w:rPr>
          <w:rFonts w:cs="Times New Roman"/>
          <w:i/>
          <w:lang w:val="el-GR"/>
        </w:rPr>
        <w:t xml:space="preserve">Αριθμός αυγών του αλευρώδη B. tabaci </w:t>
      </w:r>
      <w:r w:rsidR="006E236D" w:rsidRPr="006E236D">
        <w:rPr>
          <w:rFonts w:cs="Times New Roman"/>
          <w:i/>
          <w:iCs/>
          <w:lang w:val="el-GR"/>
        </w:rPr>
        <w:t>στα φυτά</w:t>
      </w:r>
      <w:r w:rsidR="006E236D" w:rsidRPr="009C5FF7">
        <w:rPr>
          <w:rFonts w:cs="Times New Roman"/>
          <w:i/>
          <w:iCs/>
          <w:lang w:val="el-GR"/>
        </w:rPr>
        <w:t xml:space="preserve"> του μάρτυρα και σε φυτά των διαφορετικών μεταχειρίσεων (</w:t>
      </w:r>
      <w:r w:rsidR="006E236D" w:rsidRPr="009C5FF7">
        <w:rPr>
          <w:rFonts w:cs="Times New Roman"/>
          <w:i/>
          <w:iCs/>
          <w:lang w:val="en-US"/>
        </w:rPr>
        <w:t>trehalose</w:t>
      </w:r>
      <w:r w:rsidR="006E236D" w:rsidRPr="009C5FF7">
        <w:rPr>
          <w:rFonts w:cs="Times New Roman"/>
          <w:i/>
          <w:iCs/>
          <w:lang w:val="el-GR"/>
        </w:rPr>
        <w:t xml:space="preserve">, </w:t>
      </w:r>
      <w:r w:rsidR="006E236D" w:rsidRPr="009C5FF7">
        <w:rPr>
          <w:rFonts w:cs="Times New Roman"/>
          <w:i/>
          <w:iCs/>
          <w:lang w:val="en-US"/>
        </w:rPr>
        <w:t>systemin</w:t>
      </w:r>
      <w:r w:rsidR="006E236D" w:rsidRPr="009C5FF7">
        <w:rPr>
          <w:rFonts w:cs="Times New Roman"/>
          <w:i/>
          <w:iCs/>
          <w:lang w:val="el-GR"/>
        </w:rPr>
        <w:t xml:space="preserve">, </w:t>
      </w:r>
      <w:r w:rsidR="006E236D" w:rsidRPr="009C5FF7">
        <w:rPr>
          <w:rFonts w:cs="Times New Roman"/>
          <w:i/>
          <w:iCs/>
          <w:lang w:val="en-US"/>
        </w:rPr>
        <w:t>QS</w:t>
      </w:r>
      <w:r w:rsidR="006E236D" w:rsidRPr="009C5FF7">
        <w:rPr>
          <w:rFonts w:cs="Times New Roman"/>
          <w:i/>
          <w:iCs/>
          <w:lang w:val="el-GR"/>
        </w:rPr>
        <w:t xml:space="preserve">69, </w:t>
      </w:r>
      <w:r w:rsidR="006E236D" w:rsidRPr="009C5FF7">
        <w:rPr>
          <w:rFonts w:cs="Times New Roman"/>
          <w:i/>
          <w:iCs/>
          <w:lang w:val="en-US"/>
        </w:rPr>
        <w:t>Control</w:t>
      </w:r>
      <w:r w:rsidR="006E236D" w:rsidRPr="009C5FF7">
        <w:rPr>
          <w:rFonts w:cs="Times New Roman"/>
          <w:i/>
          <w:iCs/>
          <w:lang w:val="el-GR"/>
        </w:rPr>
        <w:t>).</w:t>
      </w:r>
    </w:p>
    <w:p w14:paraId="30C32C38" w14:textId="7ECA5DE6" w:rsidR="00951B6E" w:rsidRPr="001257C3" w:rsidRDefault="00951B6E" w:rsidP="001257C3">
      <w:pPr>
        <w:spacing w:after="120" w:line="276" w:lineRule="auto"/>
        <w:jc w:val="both"/>
        <w:rPr>
          <w:rFonts w:cs="Times New Roman"/>
          <w:bCs/>
          <w:iCs/>
          <w:lang w:val="el-GR"/>
        </w:rPr>
      </w:pPr>
    </w:p>
    <w:p w14:paraId="7E03D5B2" w14:textId="2E5C94BF" w:rsidR="00795FC6" w:rsidRPr="0095505E" w:rsidRDefault="00795FC6" w:rsidP="001257C3">
      <w:pPr>
        <w:spacing w:after="120" w:line="276" w:lineRule="auto"/>
        <w:jc w:val="both"/>
        <w:rPr>
          <w:rFonts w:cs="Times New Roman"/>
          <w:bCs/>
          <w:iCs/>
          <w:u w:val="single"/>
          <w:lang w:val="el-GR"/>
        </w:rPr>
      </w:pPr>
      <w:r w:rsidRPr="0095505E">
        <w:rPr>
          <w:rFonts w:cs="Times New Roman"/>
          <w:bCs/>
          <w:iCs/>
          <w:u w:val="single"/>
          <w:lang w:val="el-GR"/>
        </w:rPr>
        <w:t xml:space="preserve">Επιδράσεις στο φυτοφάγο έντομο </w:t>
      </w:r>
      <w:r w:rsidRPr="0095505E">
        <w:rPr>
          <w:rFonts w:cs="Times New Roman"/>
          <w:bCs/>
          <w:i/>
          <w:iCs/>
          <w:u w:val="single"/>
          <w:lang w:val="en-US"/>
        </w:rPr>
        <w:t>Tuta</w:t>
      </w:r>
      <w:r w:rsidRPr="0095505E">
        <w:rPr>
          <w:rFonts w:cs="Times New Roman"/>
          <w:bCs/>
          <w:i/>
          <w:iCs/>
          <w:u w:val="single"/>
          <w:lang w:val="el-GR"/>
        </w:rPr>
        <w:t xml:space="preserve"> </w:t>
      </w:r>
      <w:r w:rsidRPr="0095505E">
        <w:rPr>
          <w:rFonts w:cs="Times New Roman"/>
          <w:bCs/>
          <w:i/>
          <w:iCs/>
          <w:u w:val="single"/>
          <w:lang w:val="en-US"/>
        </w:rPr>
        <w:t>absoluta</w:t>
      </w:r>
    </w:p>
    <w:p w14:paraId="7B97D978" w14:textId="56712DE9" w:rsidR="00FD3345" w:rsidRPr="001257C3" w:rsidRDefault="00124FBC" w:rsidP="001257C3">
      <w:pPr>
        <w:spacing w:after="120" w:line="276" w:lineRule="auto"/>
        <w:jc w:val="both"/>
        <w:rPr>
          <w:lang w:val="el-GR"/>
        </w:rPr>
      </w:pPr>
      <w:r w:rsidRPr="00124FBC">
        <w:rPr>
          <w:lang w:val="el-GR"/>
        </w:rPr>
        <w:t xml:space="preserve">Όσον αφορά στις επιδράσεις των διαφορετικών μικροοργνανισμών στο φυτοφάγο έντομο </w:t>
      </w:r>
      <w:r w:rsidRPr="00124FBC">
        <w:rPr>
          <w:i/>
          <w:lang w:val="en-US"/>
        </w:rPr>
        <w:t>T</w:t>
      </w:r>
      <w:r w:rsidRPr="00124FBC">
        <w:rPr>
          <w:i/>
          <w:lang w:val="el-GR"/>
        </w:rPr>
        <w:t xml:space="preserve">. </w:t>
      </w:r>
      <w:r w:rsidRPr="00124FBC">
        <w:rPr>
          <w:i/>
          <w:lang w:val="en-US"/>
        </w:rPr>
        <w:t>absoluta</w:t>
      </w:r>
      <w:r w:rsidRPr="00124FBC">
        <w:rPr>
          <w:lang w:val="el-GR"/>
        </w:rPr>
        <w:t>, δ</w:t>
      </w:r>
      <w:r w:rsidR="00FD3345" w:rsidRPr="00124FBC">
        <w:rPr>
          <w:lang w:val="el-GR"/>
        </w:rPr>
        <w:t xml:space="preserve">εν παρατηρήθηκαν </w:t>
      </w:r>
      <w:r w:rsidRPr="00124FBC">
        <w:rPr>
          <w:lang w:val="el-GR"/>
        </w:rPr>
        <w:t xml:space="preserve">σημαντικές </w:t>
      </w:r>
      <w:r w:rsidR="00FD3345" w:rsidRPr="00124FBC">
        <w:rPr>
          <w:lang w:val="el-GR"/>
        </w:rPr>
        <w:t xml:space="preserve">διαφορές μεταξύ των μεταχειρίσεων (μικροοργανισμών) σε σχέση με τον μάρτυρα </w:t>
      </w:r>
      <w:r w:rsidRPr="00124FBC">
        <w:rPr>
          <w:lang w:val="el-GR"/>
        </w:rPr>
        <w:t>τόσο όσον αφορά στη</w:t>
      </w:r>
      <w:r w:rsidR="00FD3345" w:rsidRPr="00124FBC">
        <w:rPr>
          <w:lang w:val="el-GR"/>
        </w:rPr>
        <w:t xml:space="preserve"> διάρκεια ανάπτυξης (</w:t>
      </w:r>
      <w:r w:rsidR="0051575A" w:rsidRPr="00124FBC">
        <w:rPr>
          <w:lang w:val="el-GR"/>
        </w:rPr>
        <w:t>Εικόνα</w:t>
      </w:r>
      <w:r w:rsidR="00FD3345" w:rsidRPr="00124FBC">
        <w:rPr>
          <w:lang w:val="el-GR"/>
        </w:rPr>
        <w:t xml:space="preserve"> </w:t>
      </w:r>
      <w:r w:rsidR="0051575A" w:rsidRPr="00124FBC">
        <w:rPr>
          <w:lang w:val="el-GR"/>
        </w:rPr>
        <w:t>3</w:t>
      </w:r>
      <w:r w:rsidR="00FD3345" w:rsidRPr="00124FBC">
        <w:rPr>
          <w:lang w:val="el-GR"/>
        </w:rPr>
        <w:t xml:space="preserve">), </w:t>
      </w:r>
      <w:r w:rsidRPr="00124FBC">
        <w:rPr>
          <w:lang w:val="el-GR"/>
        </w:rPr>
        <w:t xml:space="preserve">όσο </w:t>
      </w:r>
      <w:r w:rsidR="00FD3345" w:rsidRPr="00124FBC">
        <w:rPr>
          <w:lang w:val="el-GR"/>
        </w:rPr>
        <w:t>και το βάρος της νύμφης (</w:t>
      </w:r>
      <w:r w:rsidR="0051575A" w:rsidRPr="00124FBC">
        <w:rPr>
          <w:lang w:val="el-GR"/>
        </w:rPr>
        <w:t>Εικόνα</w:t>
      </w:r>
      <w:r w:rsidR="00FD3345" w:rsidRPr="00124FBC">
        <w:rPr>
          <w:lang w:val="el-GR"/>
        </w:rPr>
        <w:t xml:space="preserve"> </w:t>
      </w:r>
      <w:r w:rsidR="0051575A" w:rsidRPr="00124FBC">
        <w:rPr>
          <w:lang w:val="el-GR"/>
        </w:rPr>
        <w:t>4</w:t>
      </w:r>
      <w:r w:rsidR="00FD3345" w:rsidRPr="00124FBC">
        <w:rPr>
          <w:lang w:val="el-GR"/>
        </w:rPr>
        <w:t>).</w:t>
      </w:r>
    </w:p>
    <w:p w14:paraId="0B7ECBEE" w14:textId="77777777" w:rsidR="00FD3345" w:rsidRPr="001257C3" w:rsidRDefault="00FD3345" w:rsidP="00684F68">
      <w:pPr>
        <w:spacing w:after="120" w:line="276" w:lineRule="auto"/>
        <w:jc w:val="center"/>
        <w:rPr>
          <w:rFonts w:cs="Times New Roman"/>
          <w:iCs/>
          <w:lang w:val="el-GR"/>
        </w:rPr>
      </w:pPr>
      <w:r w:rsidRPr="001257C3">
        <w:rPr>
          <w:rFonts w:ascii="Times New Roman" w:hAnsi="Times New Roman" w:cs="Times New Roman"/>
          <w:b/>
          <w:noProof/>
          <w:lang w:eastAsia="el-GR"/>
        </w:rPr>
        <w:drawing>
          <wp:inline distT="0" distB="0" distL="0" distR="0" wp14:anchorId="0020CAAB" wp14:editId="297D7615">
            <wp:extent cx="3248386" cy="2584450"/>
            <wp:effectExtent l="0" t="0" r="9525" b="635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5200" cy="2605783"/>
                    </a:xfrm>
                    <a:prstGeom prst="rect">
                      <a:avLst/>
                    </a:prstGeom>
                    <a:noFill/>
                    <a:ln>
                      <a:noFill/>
                    </a:ln>
                  </pic:spPr>
                </pic:pic>
              </a:graphicData>
            </a:graphic>
          </wp:inline>
        </w:drawing>
      </w:r>
    </w:p>
    <w:p w14:paraId="1A621C57" w14:textId="48DB4D50" w:rsidR="00FD3345" w:rsidRPr="001257C3" w:rsidRDefault="00FD3345" w:rsidP="001257C3">
      <w:pPr>
        <w:spacing w:after="120" w:line="276" w:lineRule="auto"/>
        <w:jc w:val="both"/>
        <w:rPr>
          <w:rFonts w:cs="Times New Roman"/>
          <w:i/>
          <w:iCs/>
          <w:lang w:val="el-GR"/>
        </w:rPr>
      </w:pPr>
      <w:r w:rsidRPr="001257C3">
        <w:rPr>
          <w:rFonts w:cs="Times New Roman"/>
          <w:b/>
          <w:i/>
          <w:iCs/>
          <w:lang w:val="el-GR"/>
        </w:rPr>
        <w:t>Εικόνα 3.</w:t>
      </w:r>
      <w:r w:rsidRPr="001257C3">
        <w:rPr>
          <w:rFonts w:cs="Times New Roman"/>
          <w:i/>
          <w:iCs/>
          <w:lang w:val="el-GR"/>
        </w:rPr>
        <w:t xml:space="preserve"> Μέση διάρκεια (ημέρες) των διαφορετικών σταδίων ανάπτυξης του φυτοφάγου εντόμου </w:t>
      </w:r>
      <w:r w:rsidRPr="001257C3">
        <w:rPr>
          <w:rFonts w:cs="Times New Roman"/>
          <w:iCs/>
          <w:lang w:val="el-GR"/>
        </w:rPr>
        <w:t>T. absoluta</w:t>
      </w:r>
      <w:r w:rsidRPr="001257C3">
        <w:rPr>
          <w:rFonts w:cs="Times New Roman"/>
          <w:i/>
          <w:iCs/>
          <w:lang w:val="el-GR"/>
        </w:rPr>
        <w:t xml:space="preserve"> από </w:t>
      </w:r>
      <w:r w:rsidR="00E647AC" w:rsidRPr="001257C3">
        <w:rPr>
          <w:rFonts w:cs="Times New Roman"/>
          <w:i/>
          <w:iCs/>
          <w:lang w:val="el-GR"/>
        </w:rPr>
        <w:t xml:space="preserve">το </w:t>
      </w:r>
      <w:r w:rsidRPr="001257C3">
        <w:rPr>
          <w:rFonts w:cs="Times New Roman"/>
          <w:i/>
          <w:iCs/>
          <w:lang w:val="el-GR"/>
        </w:rPr>
        <w:t>αυγό μέχρι τη στάδιο της νύμφης στα φυτά του μάρτυρα και σε φυτά εμβολιασμένα με τους διαφορετικούς μικροργανισμούς (QS69, T22, T34).</w:t>
      </w:r>
    </w:p>
    <w:p w14:paraId="40E5F5E5" w14:textId="77777777" w:rsidR="00FD3345" w:rsidRPr="001257C3" w:rsidRDefault="00FD3345" w:rsidP="00684F68">
      <w:pPr>
        <w:spacing w:after="120" w:line="276" w:lineRule="auto"/>
        <w:jc w:val="center"/>
        <w:rPr>
          <w:rFonts w:cstheme="minorHAnsi"/>
          <w:color w:val="0070C0"/>
          <w:lang w:val="el-GR"/>
        </w:rPr>
      </w:pPr>
      <w:r w:rsidRPr="001257C3">
        <w:rPr>
          <w:rFonts w:cstheme="minorHAnsi"/>
          <w:b/>
          <w:noProof/>
          <w:color w:val="0070C0"/>
          <w:lang w:eastAsia="el-GR"/>
        </w:rPr>
        <w:drawing>
          <wp:inline distT="0" distB="0" distL="0" distR="0" wp14:anchorId="2F5EE7F2" wp14:editId="66F4E8D1">
            <wp:extent cx="2832174" cy="2525809"/>
            <wp:effectExtent l="0" t="0" r="6350" b="825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526" cy="2540392"/>
                    </a:xfrm>
                    <a:prstGeom prst="rect">
                      <a:avLst/>
                    </a:prstGeom>
                    <a:noFill/>
                    <a:ln>
                      <a:noFill/>
                    </a:ln>
                  </pic:spPr>
                </pic:pic>
              </a:graphicData>
            </a:graphic>
          </wp:inline>
        </w:drawing>
      </w:r>
    </w:p>
    <w:p w14:paraId="5117262F" w14:textId="33CCB2E2" w:rsidR="00FD3345" w:rsidRPr="001257C3" w:rsidRDefault="00FD3345" w:rsidP="001257C3">
      <w:pPr>
        <w:spacing w:after="120" w:line="276" w:lineRule="auto"/>
        <w:jc w:val="both"/>
        <w:rPr>
          <w:rFonts w:cstheme="minorHAnsi"/>
          <w:lang w:val="el-GR"/>
        </w:rPr>
      </w:pPr>
      <w:r w:rsidRPr="001257C3">
        <w:rPr>
          <w:rFonts w:cstheme="minorHAnsi"/>
          <w:b/>
          <w:i/>
          <w:lang w:val="el-GR"/>
        </w:rPr>
        <w:t xml:space="preserve">Εικόνα 4. </w:t>
      </w:r>
      <w:r w:rsidRPr="001257C3">
        <w:rPr>
          <w:rFonts w:cstheme="minorHAnsi"/>
          <w:i/>
          <w:lang w:val="el-GR"/>
        </w:rPr>
        <w:t xml:space="preserve">Μέσο βάρος νυμφών του φυτοφάγου εντόμου </w:t>
      </w:r>
      <w:r w:rsidRPr="001257C3">
        <w:rPr>
          <w:rFonts w:cstheme="minorHAnsi"/>
        </w:rPr>
        <w:t>T</w:t>
      </w:r>
      <w:r w:rsidRPr="001257C3">
        <w:rPr>
          <w:rFonts w:cstheme="minorHAnsi"/>
          <w:lang w:val="el-GR"/>
        </w:rPr>
        <w:t xml:space="preserve">. </w:t>
      </w:r>
      <w:r w:rsidRPr="001257C3">
        <w:rPr>
          <w:rFonts w:cstheme="minorHAnsi"/>
        </w:rPr>
        <w:t>absoluta</w:t>
      </w:r>
      <w:r w:rsidRPr="001257C3">
        <w:rPr>
          <w:rFonts w:cstheme="minorHAnsi"/>
          <w:i/>
          <w:lang w:val="el-GR"/>
        </w:rPr>
        <w:t xml:space="preserve"> που αναπτύχθηκαν στα φυτά του μάρτυρα και σε φυτά εμβολιασμένα με τους διαφορετικούς μικροργανισμούς (</w:t>
      </w:r>
      <w:r w:rsidRPr="001257C3">
        <w:rPr>
          <w:rFonts w:cstheme="minorHAnsi"/>
          <w:i/>
        </w:rPr>
        <w:t>QS</w:t>
      </w:r>
      <w:r w:rsidRPr="001257C3">
        <w:rPr>
          <w:rFonts w:cstheme="minorHAnsi"/>
          <w:i/>
          <w:lang w:val="el-GR"/>
        </w:rPr>
        <w:t xml:space="preserve">69, </w:t>
      </w:r>
      <w:r w:rsidRPr="001257C3">
        <w:rPr>
          <w:rFonts w:cstheme="minorHAnsi"/>
          <w:i/>
        </w:rPr>
        <w:t>T</w:t>
      </w:r>
      <w:r w:rsidRPr="001257C3">
        <w:rPr>
          <w:rFonts w:cstheme="minorHAnsi"/>
          <w:i/>
          <w:lang w:val="el-GR"/>
        </w:rPr>
        <w:t xml:space="preserve">22, </w:t>
      </w:r>
      <w:r w:rsidRPr="001257C3">
        <w:rPr>
          <w:rFonts w:cstheme="minorHAnsi"/>
          <w:i/>
        </w:rPr>
        <w:t>T</w:t>
      </w:r>
      <w:r w:rsidRPr="001257C3">
        <w:rPr>
          <w:rFonts w:cstheme="minorHAnsi"/>
          <w:i/>
          <w:lang w:val="el-GR"/>
        </w:rPr>
        <w:t>34).</w:t>
      </w:r>
    </w:p>
    <w:p w14:paraId="74743E5C" w14:textId="4419CDFC" w:rsidR="001257C3" w:rsidRDefault="001257C3" w:rsidP="001257C3">
      <w:pPr>
        <w:spacing w:after="120" w:line="276" w:lineRule="auto"/>
        <w:jc w:val="both"/>
        <w:rPr>
          <w:rFonts w:cstheme="minorHAnsi"/>
          <w:lang w:val="el-GR"/>
        </w:rPr>
      </w:pPr>
    </w:p>
    <w:p w14:paraId="5E61C85E" w14:textId="41DC9373" w:rsidR="00BC56EB" w:rsidRPr="00610998" w:rsidRDefault="006943FF" w:rsidP="001257C3">
      <w:pPr>
        <w:spacing w:after="120" w:line="276" w:lineRule="auto"/>
        <w:jc w:val="both"/>
        <w:rPr>
          <w:rFonts w:cs="Times New Roman"/>
          <w:lang w:val="el-GR"/>
        </w:rPr>
      </w:pPr>
      <w:r>
        <w:rPr>
          <w:rFonts w:cstheme="minorHAnsi"/>
          <w:lang w:val="el-GR"/>
        </w:rPr>
        <w:t xml:space="preserve">Όσον αφορά στα πειράματα που αφορούσαν στην επίδραση της τρεχαλόζης, της συστεμίνης και του </w:t>
      </w:r>
      <w:r>
        <w:rPr>
          <w:rFonts w:cstheme="minorHAnsi"/>
          <w:lang w:val="en-US"/>
        </w:rPr>
        <w:t>QS</w:t>
      </w:r>
      <w:r w:rsidRPr="006943FF">
        <w:rPr>
          <w:rFonts w:cstheme="minorHAnsi"/>
          <w:lang w:val="el-GR"/>
        </w:rPr>
        <w:t xml:space="preserve">69 </w:t>
      </w:r>
      <w:r>
        <w:rPr>
          <w:rFonts w:cstheme="minorHAnsi"/>
          <w:lang w:val="el-GR"/>
        </w:rPr>
        <w:t>στο φυτοφάγο</w:t>
      </w:r>
      <w:r w:rsidRPr="006943FF">
        <w:rPr>
          <w:rFonts w:cstheme="minorHAnsi"/>
          <w:lang w:val="el-GR"/>
        </w:rPr>
        <w:t xml:space="preserve"> </w:t>
      </w:r>
      <w:r>
        <w:rPr>
          <w:rFonts w:cstheme="minorHAnsi"/>
          <w:lang w:val="el-GR"/>
        </w:rPr>
        <w:t xml:space="preserve">έντομο </w:t>
      </w:r>
      <w:r w:rsidRPr="006943FF">
        <w:rPr>
          <w:rFonts w:cstheme="minorHAnsi"/>
          <w:i/>
        </w:rPr>
        <w:t>T</w:t>
      </w:r>
      <w:r w:rsidRPr="006943FF">
        <w:rPr>
          <w:rFonts w:cstheme="minorHAnsi"/>
          <w:i/>
          <w:lang w:val="el-GR"/>
        </w:rPr>
        <w:t xml:space="preserve">. </w:t>
      </w:r>
      <w:r w:rsidRPr="006943FF">
        <w:rPr>
          <w:rFonts w:cstheme="minorHAnsi"/>
          <w:i/>
        </w:rPr>
        <w:t>absoluta</w:t>
      </w:r>
      <w:r>
        <w:rPr>
          <w:rFonts w:cstheme="minorHAnsi"/>
          <w:lang w:val="el-GR"/>
        </w:rPr>
        <w:t xml:space="preserve">, από τα αποτελέσματα </w:t>
      </w:r>
      <w:r>
        <w:rPr>
          <w:rFonts w:cstheme="minorHAnsi"/>
          <w:lang w:val="el-GR"/>
        </w:rPr>
        <w:lastRenderedPageBreak/>
        <w:t xml:space="preserve">φαίνεται </w:t>
      </w:r>
      <w:r w:rsidRPr="006943FF">
        <w:rPr>
          <w:rFonts w:cstheme="minorHAnsi"/>
          <w:lang w:val="el-GR"/>
        </w:rPr>
        <w:t xml:space="preserve">ότι </w:t>
      </w:r>
      <w:r>
        <w:rPr>
          <w:rFonts w:cstheme="minorHAnsi"/>
          <w:lang w:val="el-GR"/>
        </w:rPr>
        <w:t>η διάρκεια ανήλικης</w:t>
      </w:r>
      <w:r w:rsidRPr="006943FF">
        <w:rPr>
          <w:rFonts w:cstheme="minorHAnsi"/>
          <w:lang w:val="el-GR"/>
        </w:rPr>
        <w:t xml:space="preserve"> ανάπτυξης </w:t>
      </w:r>
      <w:r>
        <w:rPr>
          <w:rFonts w:cstheme="minorHAnsi"/>
          <w:lang w:val="el-GR"/>
        </w:rPr>
        <w:t xml:space="preserve">είναι </w:t>
      </w:r>
      <w:r w:rsidRPr="006943FF">
        <w:rPr>
          <w:rFonts w:cstheme="minorHAnsi"/>
          <w:lang w:val="el-GR"/>
        </w:rPr>
        <w:t xml:space="preserve">παρόμοια σε όλες τις μεταχειρίσεις, χωρίς σημαντικές διαφοροποιήσεις σε σχέση με τον μάρτυρα (Εικόνα 5). </w:t>
      </w:r>
      <w:r>
        <w:rPr>
          <w:rFonts w:cs="Times New Roman"/>
          <w:lang w:val="el-GR"/>
        </w:rPr>
        <w:t>Επιπλέον, ό</w:t>
      </w:r>
      <w:r w:rsidR="001257C3" w:rsidRPr="006943FF">
        <w:rPr>
          <w:rFonts w:cs="Times New Roman"/>
          <w:lang w:val="el-GR"/>
        </w:rPr>
        <w:t xml:space="preserve">σον αφορά στο βάρος των νυμφών, δεν καταγράφηκαν στατιστικώς σημαντικές διαφορές στις διαφορετικές μεταχειρίσεις με το βάρος να κυμαίνεται από 0,004 στην τρεχαλόζη έως 0,006 </w:t>
      </w:r>
      <w:r w:rsidR="001257C3" w:rsidRPr="006943FF">
        <w:rPr>
          <w:rFonts w:cs="Times New Roman"/>
          <w:lang w:val="en-US"/>
        </w:rPr>
        <w:t>g</w:t>
      </w:r>
      <w:r w:rsidR="001257C3" w:rsidRPr="006943FF">
        <w:rPr>
          <w:rFonts w:cs="Times New Roman"/>
          <w:lang w:val="el-GR"/>
        </w:rPr>
        <w:t xml:space="preserve"> στη μεταχείριση της συστεμίνης.</w:t>
      </w:r>
    </w:p>
    <w:p w14:paraId="7424F958" w14:textId="28A9F6B1" w:rsidR="0071739A" w:rsidRPr="001257C3" w:rsidRDefault="001257C3" w:rsidP="0095505E">
      <w:pPr>
        <w:spacing w:after="120" w:line="276" w:lineRule="auto"/>
        <w:jc w:val="center"/>
        <w:rPr>
          <w:rFonts w:cs="Times New Roman"/>
          <w:lang w:val="en-US"/>
        </w:rPr>
      </w:pPr>
      <w:r w:rsidRPr="001257C3">
        <w:rPr>
          <w:noProof/>
        </w:rPr>
        <w:drawing>
          <wp:inline distT="0" distB="0" distL="0" distR="0" wp14:anchorId="1B699AA0" wp14:editId="43106A5B">
            <wp:extent cx="2832100" cy="2038350"/>
            <wp:effectExtent l="0" t="0" r="6350" b="0"/>
            <wp:docPr id="1" name="Chart 1">
              <a:extLst xmlns:a="http://schemas.openxmlformats.org/drawingml/2006/main">
                <a:ext uri="{FF2B5EF4-FFF2-40B4-BE49-F238E27FC236}">
                  <a16:creationId xmlns:a16="http://schemas.microsoft.com/office/drawing/2014/main" id="{52843BFC-4130-42E0-B361-13ED390AA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CF3CC8" w14:textId="40F351C4" w:rsidR="001257C3" w:rsidRPr="001257C3" w:rsidRDefault="001257C3" w:rsidP="001257C3">
      <w:pPr>
        <w:spacing w:after="120" w:line="276" w:lineRule="auto"/>
        <w:jc w:val="both"/>
        <w:rPr>
          <w:rFonts w:cs="Times New Roman"/>
          <w:i/>
          <w:iCs/>
          <w:lang w:val="el-GR"/>
        </w:rPr>
      </w:pPr>
      <w:r w:rsidRPr="009C5FF7">
        <w:rPr>
          <w:rFonts w:cstheme="minorHAnsi"/>
          <w:b/>
          <w:i/>
          <w:lang w:val="el-GR"/>
        </w:rPr>
        <w:t xml:space="preserve">Εικόνα 5. </w:t>
      </w:r>
      <w:r w:rsidRPr="009C5FF7">
        <w:rPr>
          <w:rFonts w:cstheme="minorHAnsi"/>
          <w:i/>
          <w:lang w:val="el-GR"/>
        </w:rPr>
        <w:t xml:space="preserve">Μέση διάρκεια ανήλικης ανάπτυξης του φυτοφάγου εντόμου </w:t>
      </w:r>
      <w:r w:rsidRPr="009C5FF7">
        <w:rPr>
          <w:rFonts w:cstheme="minorHAnsi"/>
        </w:rPr>
        <w:t>T</w:t>
      </w:r>
      <w:r w:rsidRPr="009C5FF7">
        <w:rPr>
          <w:rFonts w:cstheme="minorHAnsi"/>
          <w:lang w:val="el-GR"/>
        </w:rPr>
        <w:t xml:space="preserve">. </w:t>
      </w:r>
      <w:r w:rsidRPr="009C5FF7">
        <w:rPr>
          <w:rFonts w:cstheme="minorHAnsi"/>
        </w:rPr>
        <w:t>absoluta</w:t>
      </w:r>
      <w:r w:rsidRPr="009C5FF7">
        <w:rPr>
          <w:rFonts w:cstheme="minorHAnsi"/>
          <w:i/>
          <w:lang w:val="el-GR"/>
        </w:rPr>
        <w:t xml:space="preserve"> </w:t>
      </w:r>
      <w:r w:rsidRPr="009C5FF7">
        <w:rPr>
          <w:rFonts w:cs="Times New Roman"/>
          <w:i/>
          <w:iCs/>
          <w:lang w:val="el-GR"/>
        </w:rPr>
        <w:t xml:space="preserve">από </w:t>
      </w:r>
      <w:r w:rsidR="009067C4" w:rsidRPr="009C5FF7">
        <w:rPr>
          <w:rFonts w:cs="Times New Roman"/>
          <w:i/>
          <w:iCs/>
          <w:lang w:val="el-GR"/>
        </w:rPr>
        <w:t xml:space="preserve">το </w:t>
      </w:r>
      <w:r w:rsidRPr="009C5FF7">
        <w:rPr>
          <w:rFonts w:cs="Times New Roman"/>
          <w:i/>
          <w:iCs/>
          <w:lang w:val="el-GR"/>
        </w:rPr>
        <w:t>αυγό μέχρι τη στάδιο της νύμφης στα φυτά του μάρτυρα και σε φυτά των διαφορετικών μεταχειρίσεων (</w:t>
      </w:r>
      <w:r w:rsidRPr="009C5FF7">
        <w:rPr>
          <w:rFonts w:cs="Times New Roman"/>
          <w:i/>
          <w:iCs/>
          <w:lang w:val="en-US"/>
        </w:rPr>
        <w:t>trehalose</w:t>
      </w:r>
      <w:r w:rsidRPr="009C5FF7">
        <w:rPr>
          <w:rFonts w:cs="Times New Roman"/>
          <w:i/>
          <w:iCs/>
          <w:lang w:val="el-GR"/>
        </w:rPr>
        <w:t xml:space="preserve">, </w:t>
      </w:r>
      <w:r w:rsidRPr="009C5FF7">
        <w:rPr>
          <w:rFonts w:cs="Times New Roman"/>
          <w:i/>
          <w:iCs/>
          <w:lang w:val="en-US"/>
        </w:rPr>
        <w:t>systemin</w:t>
      </w:r>
      <w:r w:rsidRPr="009C5FF7">
        <w:rPr>
          <w:rFonts w:cs="Times New Roman"/>
          <w:i/>
          <w:iCs/>
          <w:lang w:val="el-GR"/>
        </w:rPr>
        <w:t xml:space="preserve">, </w:t>
      </w:r>
      <w:r w:rsidRPr="009C5FF7">
        <w:rPr>
          <w:rFonts w:cs="Times New Roman"/>
          <w:i/>
          <w:iCs/>
          <w:lang w:val="en-US"/>
        </w:rPr>
        <w:t>QS</w:t>
      </w:r>
      <w:r w:rsidRPr="009C5FF7">
        <w:rPr>
          <w:rFonts w:cs="Times New Roman"/>
          <w:i/>
          <w:iCs/>
          <w:lang w:val="el-GR"/>
        </w:rPr>
        <w:t xml:space="preserve">69, </w:t>
      </w:r>
      <w:r w:rsidRPr="009C5FF7">
        <w:rPr>
          <w:rFonts w:cs="Times New Roman"/>
          <w:i/>
          <w:iCs/>
          <w:lang w:val="en-US"/>
        </w:rPr>
        <w:t>Control</w:t>
      </w:r>
      <w:r w:rsidRPr="009C5FF7">
        <w:rPr>
          <w:rFonts w:cs="Times New Roman"/>
          <w:i/>
          <w:iCs/>
          <w:lang w:val="el-GR"/>
        </w:rPr>
        <w:t>).</w:t>
      </w:r>
    </w:p>
    <w:p w14:paraId="25D4CF13" w14:textId="2144897D" w:rsidR="0095505E" w:rsidRDefault="0095505E">
      <w:pPr>
        <w:rPr>
          <w:rFonts w:cs="Times New Roman"/>
          <w:lang w:val="el-GR"/>
        </w:rPr>
      </w:pPr>
      <w:r>
        <w:rPr>
          <w:rFonts w:cs="Times New Roman"/>
          <w:lang w:val="el-GR"/>
        </w:rPr>
        <w:br w:type="page"/>
      </w:r>
    </w:p>
    <w:p w14:paraId="2497933A" w14:textId="6E3D78D8" w:rsidR="00845280" w:rsidRPr="00577FB8" w:rsidRDefault="58DCA531" w:rsidP="008232D3">
      <w:pPr>
        <w:pStyle w:val="Heading1"/>
        <w:numPr>
          <w:ilvl w:val="0"/>
          <w:numId w:val="3"/>
        </w:numPr>
        <w:spacing w:after="120" w:line="276" w:lineRule="auto"/>
        <w:ind w:left="431" w:hanging="431"/>
        <w:jc w:val="both"/>
        <w:rPr>
          <w:lang w:val="el-GR"/>
        </w:rPr>
      </w:pPr>
      <w:bookmarkStart w:id="5" w:name="_Toc184738480"/>
      <w:bookmarkEnd w:id="4"/>
      <w:r w:rsidRPr="00577FB8">
        <w:rPr>
          <w:lang w:val="el-GR"/>
        </w:rPr>
        <w:lastRenderedPageBreak/>
        <w:t>ΣΥΝΟΨΗ ΚΑΙ ΣΥΜΠΕΡΑΣΜΑΤΑ</w:t>
      </w:r>
      <w:bookmarkEnd w:id="5"/>
    </w:p>
    <w:p w14:paraId="419FAEC9" w14:textId="77777777" w:rsidR="00500287" w:rsidRDefault="008D140F" w:rsidP="008D140F">
      <w:pPr>
        <w:spacing w:after="120" w:line="276" w:lineRule="auto"/>
        <w:jc w:val="both"/>
        <w:rPr>
          <w:bCs/>
          <w:szCs w:val="28"/>
          <w:lang w:val="el-GR"/>
        </w:rPr>
      </w:pPr>
      <w:r>
        <w:rPr>
          <w:bCs/>
          <w:szCs w:val="28"/>
          <w:lang w:val="el-GR"/>
        </w:rPr>
        <w:t>Α</w:t>
      </w:r>
      <w:r w:rsidRPr="008D140F">
        <w:rPr>
          <w:bCs/>
          <w:szCs w:val="28"/>
          <w:lang w:val="el-GR"/>
        </w:rPr>
        <w:t xml:space="preserve">ξιολογήθηκε η αποτελεσματικότητα τριών υποσχόμενων βιοδραστικών παραγόντων, της τρεχαλόζης (trehalose), της συστεμίνης (systemin) και του μικροοργανισμού </w:t>
      </w:r>
      <w:r w:rsidRPr="008D140F">
        <w:rPr>
          <w:bCs/>
          <w:i/>
          <w:szCs w:val="28"/>
          <w:lang w:val="el-GR"/>
        </w:rPr>
        <w:t>R</w:t>
      </w:r>
      <w:r>
        <w:rPr>
          <w:bCs/>
          <w:i/>
          <w:szCs w:val="28"/>
          <w:lang w:val="el-GR"/>
        </w:rPr>
        <w:t>.</w:t>
      </w:r>
      <w:r w:rsidRPr="008D140F">
        <w:rPr>
          <w:bCs/>
          <w:i/>
          <w:szCs w:val="28"/>
          <w:lang w:val="el-GR"/>
        </w:rPr>
        <w:t xml:space="preserve"> irregularis</w:t>
      </w:r>
      <w:r w:rsidRPr="008D140F">
        <w:rPr>
          <w:bCs/>
          <w:szCs w:val="28"/>
          <w:lang w:val="el-GR"/>
        </w:rPr>
        <w:t xml:space="preserve"> QS69, έναντι σημαντικών φυτοφάγων εχθρών της τομάτας, συγκεκριμένα του τετράνυχου </w:t>
      </w:r>
      <w:r w:rsidRPr="008D140F">
        <w:rPr>
          <w:bCs/>
          <w:i/>
          <w:szCs w:val="28"/>
          <w:lang w:val="el-GR"/>
        </w:rPr>
        <w:t>T. urticae</w:t>
      </w:r>
      <w:r w:rsidRPr="008D140F">
        <w:rPr>
          <w:bCs/>
          <w:szCs w:val="28"/>
          <w:lang w:val="el-GR"/>
        </w:rPr>
        <w:t xml:space="preserve">, του αλευρώδη </w:t>
      </w:r>
      <w:r w:rsidRPr="008D140F">
        <w:rPr>
          <w:bCs/>
          <w:i/>
          <w:szCs w:val="28"/>
          <w:lang w:val="el-GR"/>
        </w:rPr>
        <w:t>B. tabaci</w:t>
      </w:r>
      <w:r w:rsidRPr="008D140F">
        <w:rPr>
          <w:bCs/>
          <w:szCs w:val="28"/>
          <w:lang w:val="el-GR"/>
        </w:rPr>
        <w:t xml:space="preserve"> και του λεπιδόπτερου </w:t>
      </w:r>
      <w:r w:rsidRPr="008D140F">
        <w:rPr>
          <w:bCs/>
          <w:i/>
          <w:szCs w:val="28"/>
          <w:lang w:val="el-GR"/>
        </w:rPr>
        <w:t>T. absoluta</w:t>
      </w:r>
      <w:r w:rsidRPr="008D140F">
        <w:rPr>
          <w:bCs/>
          <w:szCs w:val="28"/>
          <w:lang w:val="el-GR"/>
        </w:rPr>
        <w:t xml:space="preserve">. Τα αποτελέσματα έδειξαν σημαντική μείωση της ωοτοκίας τόσο του </w:t>
      </w:r>
      <w:r w:rsidRPr="008D140F">
        <w:rPr>
          <w:bCs/>
          <w:i/>
          <w:szCs w:val="28"/>
          <w:lang w:val="el-GR"/>
        </w:rPr>
        <w:t>T. urticae</w:t>
      </w:r>
      <w:r w:rsidRPr="008D140F">
        <w:rPr>
          <w:bCs/>
          <w:szCs w:val="28"/>
          <w:lang w:val="el-GR"/>
        </w:rPr>
        <w:t xml:space="preserve"> όσο και του </w:t>
      </w:r>
      <w:r w:rsidRPr="008D140F">
        <w:rPr>
          <w:bCs/>
          <w:i/>
          <w:szCs w:val="28"/>
          <w:lang w:val="el-GR"/>
        </w:rPr>
        <w:t>B. tabaci</w:t>
      </w:r>
      <w:r w:rsidRPr="008D140F">
        <w:rPr>
          <w:bCs/>
          <w:szCs w:val="28"/>
          <w:lang w:val="el-GR"/>
        </w:rPr>
        <w:t xml:space="preserve"> σε σύγκριση με τον μάρτυρα</w:t>
      </w:r>
      <w:r>
        <w:rPr>
          <w:bCs/>
          <w:szCs w:val="28"/>
          <w:lang w:val="el-GR"/>
        </w:rPr>
        <w:t xml:space="preserve"> και στις τρεις μεταχειρίσεις</w:t>
      </w:r>
      <w:r w:rsidRPr="008D140F">
        <w:rPr>
          <w:bCs/>
          <w:szCs w:val="28"/>
          <w:lang w:val="el-GR"/>
        </w:rPr>
        <w:t xml:space="preserve">, υποδηλώνοντας ότι οι βιοδραστικοί αυτοί παράγοντες μπορούν να ενισχύσουν την </w:t>
      </w:r>
      <w:r>
        <w:rPr>
          <w:bCs/>
          <w:szCs w:val="28"/>
          <w:lang w:val="el-GR"/>
        </w:rPr>
        <w:t>αντοχή</w:t>
      </w:r>
      <w:r w:rsidRPr="008D140F">
        <w:rPr>
          <w:bCs/>
          <w:szCs w:val="28"/>
          <w:lang w:val="el-GR"/>
        </w:rPr>
        <w:t xml:space="preserve"> των φυτών τομάτας έναντι των συγκεκριμένων εχθρών. </w:t>
      </w:r>
    </w:p>
    <w:p w14:paraId="68CC69CA" w14:textId="1F9210EA" w:rsidR="008D140F" w:rsidRPr="008D140F" w:rsidRDefault="008D140F" w:rsidP="008D140F">
      <w:pPr>
        <w:spacing w:after="120" w:line="276" w:lineRule="auto"/>
        <w:jc w:val="both"/>
        <w:rPr>
          <w:bCs/>
          <w:szCs w:val="28"/>
          <w:lang w:val="el-GR"/>
        </w:rPr>
      </w:pPr>
      <w:r>
        <w:rPr>
          <w:bCs/>
          <w:szCs w:val="28"/>
          <w:lang w:val="el-GR"/>
        </w:rPr>
        <w:t>Αντίθετα, ό</w:t>
      </w:r>
      <w:r w:rsidRPr="008D140F">
        <w:rPr>
          <w:bCs/>
          <w:szCs w:val="28"/>
          <w:lang w:val="el-GR"/>
        </w:rPr>
        <w:t xml:space="preserve">σον αφορά </w:t>
      </w:r>
      <w:r>
        <w:rPr>
          <w:bCs/>
          <w:szCs w:val="28"/>
          <w:lang w:val="el-GR"/>
        </w:rPr>
        <w:t>σ</w:t>
      </w:r>
      <w:r w:rsidRPr="008D140F">
        <w:rPr>
          <w:bCs/>
          <w:szCs w:val="28"/>
          <w:lang w:val="el-GR"/>
        </w:rPr>
        <w:t xml:space="preserve">το </w:t>
      </w:r>
      <w:r>
        <w:rPr>
          <w:bCs/>
          <w:szCs w:val="28"/>
          <w:lang w:val="el-GR"/>
        </w:rPr>
        <w:t xml:space="preserve">Λεπιδόπτερο </w:t>
      </w:r>
      <w:r w:rsidRPr="008D140F">
        <w:rPr>
          <w:bCs/>
          <w:i/>
          <w:szCs w:val="28"/>
          <w:lang w:val="el-GR"/>
        </w:rPr>
        <w:t>T. absoluta</w:t>
      </w:r>
      <w:r w:rsidRPr="008D140F">
        <w:rPr>
          <w:bCs/>
          <w:szCs w:val="28"/>
          <w:lang w:val="el-GR"/>
        </w:rPr>
        <w:t xml:space="preserve">, </w:t>
      </w:r>
      <w:r>
        <w:rPr>
          <w:bCs/>
          <w:szCs w:val="28"/>
          <w:lang w:val="el-GR"/>
        </w:rPr>
        <w:t>δεν παρατηρήθηκαν σημαντικές διαφοροποιήσεις</w:t>
      </w:r>
      <w:r w:rsidRPr="008D140F">
        <w:rPr>
          <w:bCs/>
          <w:szCs w:val="28"/>
          <w:lang w:val="el-GR"/>
        </w:rPr>
        <w:t xml:space="preserve"> ούτε </w:t>
      </w:r>
      <w:r>
        <w:rPr>
          <w:bCs/>
          <w:szCs w:val="28"/>
          <w:lang w:val="el-GR"/>
        </w:rPr>
        <w:t>σ</w:t>
      </w:r>
      <w:r w:rsidRPr="008D140F">
        <w:rPr>
          <w:bCs/>
          <w:szCs w:val="28"/>
          <w:lang w:val="el-GR"/>
        </w:rPr>
        <w:t xml:space="preserve">τη διάρκεια ανάπτυξης ούτε </w:t>
      </w:r>
      <w:r>
        <w:rPr>
          <w:bCs/>
          <w:szCs w:val="28"/>
          <w:lang w:val="el-GR"/>
        </w:rPr>
        <w:t>σ</w:t>
      </w:r>
      <w:r w:rsidRPr="008D140F">
        <w:rPr>
          <w:bCs/>
          <w:szCs w:val="28"/>
          <w:lang w:val="el-GR"/>
        </w:rPr>
        <w:t xml:space="preserve">το βάρος της νύμφης, τόσο στην περίπτωση των μικροοργανισμών όσο και στην περίπτωση της τρεχαλόζης και της συστεμίνης. </w:t>
      </w:r>
    </w:p>
    <w:p w14:paraId="157F7D21" w14:textId="40372BA4" w:rsidR="008D140F" w:rsidRDefault="008D140F" w:rsidP="008D140F">
      <w:pPr>
        <w:spacing w:after="120" w:line="276" w:lineRule="auto"/>
        <w:jc w:val="both"/>
        <w:rPr>
          <w:bCs/>
          <w:szCs w:val="28"/>
          <w:highlight w:val="yellow"/>
          <w:lang w:val="el-GR"/>
        </w:rPr>
      </w:pPr>
      <w:r w:rsidRPr="008D140F">
        <w:rPr>
          <w:bCs/>
          <w:szCs w:val="28"/>
          <w:lang w:val="el-GR"/>
        </w:rPr>
        <w:t xml:space="preserve">Συνολικά, </w:t>
      </w:r>
      <w:r>
        <w:rPr>
          <w:bCs/>
          <w:szCs w:val="28"/>
          <w:lang w:val="el-GR"/>
        </w:rPr>
        <w:t>τα αποτελέσματα</w:t>
      </w:r>
      <w:r w:rsidRPr="008D140F">
        <w:rPr>
          <w:bCs/>
          <w:szCs w:val="28"/>
          <w:lang w:val="el-GR"/>
        </w:rPr>
        <w:t xml:space="preserve"> αυτά αναδεικνύουν τη δυναμική των βιοδραστικών αυτών παραγόντων ως εργαλεία φιλικά προς το περιβάλλον για την ολοκληρωμένη διαχείριση εχθρών </w:t>
      </w:r>
      <w:r>
        <w:rPr>
          <w:bCs/>
          <w:szCs w:val="28"/>
          <w:lang w:val="el-GR"/>
        </w:rPr>
        <w:t>στην</w:t>
      </w:r>
      <w:r w:rsidRPr="008D140F">
        <w:rPr>
          <w:bCs/>
          <w:szCs w:val="28"/>
          <w:lang w:val="el-GR"/>
        </w:rPr>
        <w:t xml:space="preserve"> τομάτα και θέτουν τη βάση για περαιτέρω έρευνα σε συνθήκες </w:t>
      </w:r>
      <w:r w:rsidR="00500287">
        <w:rPr>
          <w:bCs/>
          <w:szCs w:val="28"/>
          <w:lang w:val="el-GR"/>
        </w:rPr>
        <w:t>θερμοκηπίου/</w:t>
      </w:r>
      <w:r w:rsidRPr="008D140F">
        <w:rPr>
          <w:bCs/>
          <w:szCs w:val="28"/>
          <w:lang w:val="el-GR"/>
        </w:rPr>
        <w:t>αγρού.</w:t>
      </w:r>
    </w:p>
    <w:p w14:paraId="76485EDB" w14:textId="644A67DD" w:rsidR="00845280" w:rsidRPr="00C07889" w:rsidRDefault="00E145E5" w:rsidP="008D140F">
      <w:pPr>
        <w:spacing w:after="120" w:line="276" w:lineRule="auto"/>
        <w:jc w:val="both"/>
        <w:rPr>
          <w:bCs/>
          <w:szCs w:val="28"/>
          <w:lang w:val="el-GR"/>
        </w:rPr>
      </w:pPr>
      <w:r w:rsidRPr="00577FB8">
        <w:rPr>
          <w:lang w:val="el-GR"/>
        </w:rPr>
        <w:br w:type="page"/>
      </w:r>
    </w:p>
    <w:p w14:paraId="09A6B39D" w14:textId="1974187C" w:rsidR="00845280" w:rsidRPr="00374659" w:rsidRDefault="58DCA531" w:rsidP="00374659">
      <w:pPr>
        <w:pStyle w:val="Heading1"/>
        <w:numPr>
          <w:ilvl w:val="0"/>
          <w:numId w:val="3"/>
        </w:numPr>
        <w:spacing w:line="276" w:lineRule="auto"/>
        <w:jc w:val="both"/>
        <w:rPr>
          <w:lang w:val="el-GR"/>
        </w:rPr>
      </w:pPr>
      <w:bookmarkStart w:id="6" w:name="_Toc184738481"/>
      <w:r w:rsidRPr="00374659">
        <w:rPr>
          <w:lang w:val="el-GR"/>
        </w:rPr>
        <w:lastRenderedPageBreak/>
        <w:t>ΠΑΡΑΡΤΗΜΑ</w:t>
      </w:r>
      <w:bookmarkEnd w:id="6"/>
      <w:r w:rsidRPr="00374659">
        <w:rPr>
          <w:lang w:val="el-GR"/>
        </w:rPr>
        <w:t xml:space="preserve"> Ι</w:t>
      </w:r>
    </w:p>
    <w:p w14:paraId="3BF7E52D" w14:textId="153DCD12" w:rsidR="0000675B" w:rsidRPr="005302DA" w:rsidRDefault="00F467AE" w:rsidP="00113562">
      <w:pPr>
        <w:spacing w:after="120" w:line="276" w:lineRule="auto"/>
        <w:jc w:val="both"/>
        <w:rPr>
          <w:b/>
          <w:bCs/>
          <w:lang w:val="el-GR"/>
        </w:rPr>
      </w:pPr>
      <w:r w:rsidRPr="005302DA">
        <w:rPr>
          <w:b/>
          <w:bCs/>
          <w:lang w:val="el-GR"/>
        </w:rPr>
        <w:t>Βιβλιογραφικές Αναφορές</w:t>
      </w:r>
    </w:p>
    <w:p w14:paraId="319957CA" w14:textId="737415B7" w:rsidR="0095505E" w:rsidRPr="0095505E" w:rsidRDefault="0095505E" w:rsidP="0095505E">
      <w:pPr>
        <w:pStyle w:val="ListParagraph"/>
        <w:numPr>
          <w:ilvl w:val="0"/>
          <w:numId w:val="22"/>
        </w:numPr>
        <w:spacing w:after="120" w:line="276" w:lineRule="auto"/>
        <w:ind w:left="426" w:hanging="426"/>
        <w:jc w:val="both"/>
        <w:rPr>
          <w:lang w:val="en-US"/>
        </w:rPr>
      </w:pPr>
      <w:proofErr w:type="spellStart"/>
      <w:r w:rsidRPr="0095505E">
        <w:t>Desneux</w:t>
      </w:r>
      <w:proofErr w:type="spellEnd"/>
      <w:r w:rsidRPr="0095505E">
        <w:rPr>
          <w:lang w:val="el-GR"/>
        </w:rPr>
        <w:t xml:space="preserve">, </w:t>
      </w:r>
      <w:r w:rsidRPr="0095505E">
        <w:t>N</w:t>
      </w:r>
      <w:r w:rsidRPr="0095505E">
        <w:rPr>
          <w:lang w:val="el-GR"/>
        </w:rPr>
        <w:t xml:space="preserve">., </w:t>
      </w:r>
      <w:proofErr w:type="spellStart"/>
      <w:r w:rsidRPr="0095505E">
        <w:t>Wajnberg</w:t>
      </w:r>
      <w:proofErr w:type="spellEnd"/>
      <w:r w:rsidRPr="0095505E">
        <w:rPr>
          <w:lang w:val="el-GR"/>
        </w:rPr>
        <w:t xml:space="preserve">, </w:t>
      </w:r>
      <w:r w:rsidRPr="0095505E">
        <w:t>E</w:t>
      </w:r>
      <w:r w:rsidRPr="0095505E">
        <w:rPr>
          <w:lang w:val="el-GR"/>
        </w:rPr>
        <w:t xml:space="preserve">., </w:t>
      </w:r>
      <w:proofErr w:type="spellStart"/>
      <w:r w:rsidRPr="0095505E">
        <w:t>Wyckhuys</w:t>
      </w:r>
      <w:proofErr w:type="spellEnd"/>
      <w:r w:rsidRPr="0095505E">
        <w:rPr>
          <w:lang w:val="el-GR"/>
        </w:rPr>
        <w:t xml:space="preserve">, </w:t>
      </w:r>
      <w:r w:rsidRPr="0095505E">
        <w:t>K</w:t>
      </w:r>
      <w:r w:rsidRPr="0095505E">
        <w:rPr>
          <w:lang w:val="el-GR"/>
        </w:rPr>
        <w:t>.</w:t>
      </w:r>
      <w:r w:rsidRPr="0095505E">
        <w:t>A</w:t>
      </w:r>
      <w:r w:rsidRPr="0095505E">
        <w:rPr>
          <w:lang w:val="el-GR"/>
        </w:rPr>
        <w:t xml:space="preserve">., </w:t>
      </w:r>
      <w:r w:rsidRPr="0095505E">
        <w:t>Burgio</w:t>
      </w:r>
      <w:r w:rsidRPr="0095505E">
        <w:rPr>
          <w:lang w:val="el-GR"/>
        </w:rPr>
        <w:t xml:space="preserve">, </w:t>
      </w:r>
      <w:r w:rsidRPr="0095505E">
        <w:t>G</w:t>
      </w:r>
      <w:r w:rsidRPr="0095505E">
        <w:rPr>
          <w:lang w:val="el-GR"/>
        </w:rPr>
        <w:t xml:space="preserve">., </w:t>
      </w:r>
      <w:r w:rsidRPr="0095505E">
        <w:t>Arpaia</w:t>
      </w:r>
      <w:r w:rsidRPr="0095505E">
        <w:rPr>
          <w:lang w:val="el-GR"/>
        </w:rPr>
        <w:t xml:space="preserve">, </w:t>
      </w:r>
      <w:r w:rsidRPr="0095505E">
        <w:t>S</w:t>
      </w:r>
      <w:r w:rsidRPr="0095505E">
        <w:rPr>
          <w:lang w:val="el-GR"/>
        </w:rPr>
        <w:t xml:space="preserve">., </w:t>
      </w:r>
      <w:r w:rsidRPr="0095505E">
        <w:t>Narv</w:t>
      </w:r>
      <w:r w:rsidRPr="0095505E">
        <w:rPr>
          <w:lang w:val="el-GR"/>
        </w:rPr>
        <w:t>á</w:t>
      </w:r>
      <w:proofErr w:type="spellStart"/>
      <w:r w:rsidRPr="0095505E">
        <w:t>ez</w:t>
      </w:r>
      <w:proofErr w:type="spellEnd"/>
      <w:r w:rsidRPr="0095505E">
        <w:rPr>
          <w:lang w:val="el-GR"/>
        </w:rPr>
        <w:t>-</w:t>
      </w:r>
      <w:r w:rsidRPr="0095505E">
        <w:t>Vasquez</w:t>
      </w:r>
      <w:r w:rsidRPr="0095505E">
        <w:rPr>
          <w:lang w:val="el-GR"/>
        </w:rPr>
        <w:t xml:space="preserve">, </w:t>
      </w:r>
      <w:r w:rsidRPr="0095505E">
        <w:t>C</w:t>
      </w:r>
      <w:r w:rsidRPr="0095505E">
        <w:rPr>
          <w:lang w:val="el-GR"/>
        </w:rPr>
        <w:t>.</w:t>
      </w:r>
      <w:r w:rsidRPr="0095505E">
        <w:t>A</w:t>
      </w:r>
      <w:r w:rsidRPr="0095505E">
        <w:rPr>
          <w:lang w:val="el-GR"/>
        </w:rPr>
        <w:t xml:space="preserve">., </w:t>
      </w:r>
      <w:r w:rsidRPr="0095505E">
        <w:t>Gonz</w:t>
      </w:r>
      <w:r w:rsidRPr="0095505E">
        <w:rPr>
          <w:lang w:val="el-GR"/>
        </w:rPr>
        <w:t>á</w:t>
      </w:r>
      <w:r w:rsidRPr="0095505E">
        <w:t>lez</w:t>
      </w:r>
      <w:r w:rsidRPr="0095505E">
        <w:rPr>
          <w:rFonts w:ascii="Cambria Math" w:hAnsi="Cambria Math" w:cs="Cambria Math"/>
          <w:lang w:val="el-GR"/>
        </w:rPr>
        <w:t>‐</w:t>
      </w:r>
      <w:r w:rsidRPr="0095505E">
        <w:t>Cabrera</w:t>
      </w:r>
      <w:r w:rsidRPr="0095505E">
        <w:rPr>
          <w:lang w:val="el-GR"/>
        </w:rPr>
        <w:t xml:space="preserve">, </w:t>
      </w:r>
      <w:r w:rsidRPr="0095505E">
        <w:t>J</w:t>
      </w:r>
      <w:r w:rsidRPr="0095505E">
        <w:rPr>
          <w:lang w:val="el-GR"/>
        </w:rPr>
        <w:t xml:space="preserve">., </w:t>
      </w:r>
      <w:proofErr w:type="spellStart"/>
      <w:r w:rsidRPr="0095505E">
        <w:t>Catal</w:t>
      </w:r>
      <w:proofErr w:type="spellEnd"/>
      <w:r w:rsidRPr="0095505E">
        <w:rPr>
          <w:lang w:val="el-GR"/>
        </w:rPr>
        <w:t>á</w:t>
      </w:r>
      <w:r w:rsidRPr="0095505E">
        <w:t>n</w:t>
      </w:r>
      <w:r w:rsidRPr="0095505E">
        <w:rPr>
          <w:lang w:val="el-GR"/>
        </w:rPr>
        <w:t xml:space="preserve"> </w:t>
      </w:r>
      <w:proofErr w:type="spellStart"/>
      <w:r w:rsidRPr="0095505E">
        <w:t>Ruescas</w:t>
      </w:r>
      <w:proofErr w:type="spellEnd"/>
      <w:r w:rsidRPr="0095505E">
        <w:rPr>
          <w:lang w:val="el-GR"/>
        </w:rPr>
        <w:t xml:space="preserve">, </w:t>
      </w:r>
      <w:r w:rsidRPr="0095505E">
        <w:t>D</w:t>
      </w:r>
      <w:r w:rsidRPr="0095505E">
        <w:rPr>
          <w:lang w:val="el-GR"/>
        </w:rPr>
        <w:t xml:space="preserve">., </w:t>
      </w:r>
      <w:r w:rsidRPr="0095505E">
        <w:t>Tabone</w:t>
      </w:r>
      <w:r w:rsidRPr="0095505E">
        <w:rPr>
          <w:lang w:val="el-GR"/>
        </w:rPr>
        <w:t xml:space="preserve">, </w:t>
      </w:r>
      <w:r w:rsidRPr="0095505E">
        <w:t>E</w:t>
      </w:r>
      <w:r w:rsidRPr="0095505E">
        <w:rPr>
          <w:lang w:val="el-GR"/>
        </w:rPr>
        <w:t xml:space="preserve">., </w:t>
      </w:r>
      <w:proofErr w:type="spellStart"/>
      <w:r w:rsidRPr="0095505E">
        <w:t>Frandon</w:t>
      </w:r>
      <w:proofErr w:type="spellEnd"/>
      <w:r w:rsidRPr="0095505E">
        <w:rPr>
          <w:lang w:val="el-GR"/>
        </w:rPr>
        <w:t xml:space="preserve">, </w:t>
      </w:r>
      <w:r w:rsidRPr="0095505E">
        <w:t>J</w:t>
      </w:r>
      <w:r w:rsidRPr="0095505E">
        <w:rPr>
          <w:lang w:val="el-GR"/>
        </w:rPr>
        <w:t xml:space="preserve">., </w:t>
      </w:r>
      <w:r w:rsidRPr="0095505E">
        <w:t>Pizzol</w:t>
      </w:r>
      <w:r w:rsidRPr="0095505E">
        <w:rPr>
          <w:lang w:val="el-GR"/>
        </w:rPr>
        <w:t xml:space="preserve">, </w:t>
      </w:r>
      <w:r w:rsidRPr="0095505E">
        <w:t>J</w:t>
      </w:r>
      <w:r w:rsidRPr="0095505E">
        <w:rPr>
          <w:lang w:val="el-GR"/>
        </w:rPr>
        <w:t xml:space="preserve">., </w:t>
      </w:r>
      <w:r w:rsidRPr="0095505E">
        <w:t>Poncet</w:t>
      </w:r>
      <w:r w:rsidRPr="0095505E">
        <w:rPr>
          <w:lang w:val="el-GR"/>
        </w:rPr>
        <w:t xml:space="preserve">, </w:t>
      </w:r>
      <w:r w:rsidRPr="0095505E">
        <w:t>C</w:t>
      </w:r>
      <w:r w:rsidRPr="0095505E">
        <w:rPr>
          <w:lang w:val="el-GR"/>
        </w:rPr>
        <w:t xml:space="preserve">., </w:t>
      </w:r>
      <w:r w:rsidRPr="0095505E">
        <w:t>Cabello</w:t>
      </w:r>
      <w:r w:rsidRPr="0095505E">
        <w:rPr>
          <w:lang w:val="el-GR"/>
        </w:rPr>
        <w:t xml:space="preserve">, </w:t>
      </w:r>
      <w:r w:rsidRPr="0095505E">
        <w:t>T</w:t>
      </w:r>
      <w:r w:rsidRPr="0095505E">
        <w:rPr>
          <w:lang w:val="el-GR"/>
        </w:rPr>
        <w:t xml:space="preserve">., &amp; </w:t>
      </w:r>
      <w:r w:rsidRPr="0095505E">
        <w:t>Urbaneja</w:t>
      </w:r>
      <w:r w:rsidRPr="0095505E">
        <w:rPr>
          <w:lang w:val="el-GR"/>
        </w:rPr>
        <w:t xml:space="preserve">, </w:t>
      </w:r>
      <w:r w:rsidRPr="0095505E">
        <w:t>A</w:t>
      </w:r>
      <w:r w:rsidRPr="0095505E">
        <w:rPr>
          <w:lang w:val="el-GR"/>
        </w:rPr>
        <w:t xml:space="preserve">. (2010). </w:t>
      </w:r>
      <w:r w:rsidRPr="0095505E">
        <w:t xml:space="preserve">Biological invasion of European tomato crops by </w:t>
      </w:r>
      <w:r w:rsidRPr="0095505E">
        <w:rPr>
          <w:i/>
          <w:iCs/>
        </w:rPr>
        <w:t xml:space="preserve">Tuta </w:t>
      </w:r>
      <w:proofErr w:type="spellStart"/>
      <w:r w:rsidRPr="0095505E">
        <w:rPr>
          <w:i/>
          <w:iCs/>
        </w:rPr>
        <w:t>absoluta</w:t>
      </w:r>
      <w:proofErr w:type="spellEnd"/>
      <w:r w:rsidRPr="0095505E">
        <w:t>: ecology, geographic expansion and prospects for biological control.</w:t>
      </w:r>
      <w:r w:rsidRPr="0095505E">
        <w:rPr>
          <w:lang w:val="en-US"/>
        </w:rPr>
        <w:t xml:space="preserve"> </w:t>
      </w:r>
      <w:r w:rsidRPr="0095505E">
        <w:rPr>
          <w:i/>
          <w:iCs/>
        </w:rPr>
        <w:t>Journal of Pest Science, 83</w:t>
      </w:r>
      <w:r w:rsidRPr="0095505E">
        <w:t>, 197-215.</w:t>
      </w:r>
      <w:r>
        <w:rPr>
          <w:lang w:val="el-GR"/>
        </w:rPr>
        <w:t xml:space="preserve">  </w:t>
      </w:r>
      <w:hyperlink r:id="rId16" w:history="1">
        <w:r w:rsidRPr="00A877A5">
          <w:rPr>
            <w:rStyle w:val="Hyperlink"/>
          </w:rPr>
          <w:t>https://doi.org/10.1007/s10340-010-0321-6</w:t>
        </w:r>
      </w:hyperlink>
      <w:r>
        <w:rPr>
          <w:lang w:val="el-GR"/>
        </w:rPr>
        <w:t xml:space="preserve"> </w:t>
      </w:r>
    </w:p>
    <w:p w14:paraId="54CA0742" w14:textId="273DE897" w:rsidR="00BB3780" w:rsidRDefault="00BB3780" w:rsidP="0095505E">
      <w:pPr>
        <w:pStyle w:val="ListParagraph"/>
        <w:numPr>
          <w:ilvl w:val="0"/>
          <w:numId w:val="22"/>
        </w:numPr>
        <w:spacing w:after="120" w:line="276" w:lineRule="auto"/>
        <w:ind w:left="426" w:hanging="426"/>
        <w:rPr>
          <w:lang w:val="en-US"/>
        </w:rPr>
      </w:pPr>
      <w:r w:rsidRPr="0050768E">
        <w:rPr>
          <w:lang w:val="en-US"/>
        </w:rPr>
        <w:t>Howe GA, Jander G (2008). Plant immunity to insect herbivores. Annual Review of Plant Biology 59: 41–66.</w:t>
      </w:r>
      <w:r w:rsidR="0095505E" w:rsidRPr="0095505E">
        <w:rPr>
          <w:lang w:val="en-US"/>
        </w:rPr>
        <w:t xml:space="preserve"> </w:t>
      </w:r>
      <w:hyperlink r:id="rId17" w:history="1">
        <w:r w:rsidR="0095505E" w:rsidRPr="0095505E">
          <w:rPr>
            <w:rStyle w:val="Hyperlink"/>
          </w:rPr>
          <w:t>https://doi.org/10.1146/annurev.arplant.59.032607.092825</w:t>
        </w:r>
      </w:hyperlink>
      <w:r w:rsidR="0095505E">
        <w:rPr>
          <w:lang w:val="el-GR"/>
        </w:rPr>
        <w:t xml:space="preserve"> </w:t>
      </w:r>
    </w:p>
    <w:p w14:paraId="2F786CFD" w14:textId="61A86021" w:rsidR="00BB3780" w:rsidRDefault="00BB3780" w:rsidP="0095505E">
      <w:pPr>
        <w:pStyle w:val="ListParagraph"/>
        <w:numPr>
          <w:ilvl w:val="0"/>
          <w:numId w:val="22"/>
        </w:numPr>
        <w:spacing w:after="120" w:line="276" w:lineRule="auto"/>
        <w:ind w:left="426" w:hanging="426"/>
        <w:jc w:val="both"/>
        <w:rPr>
          <w:lang w:val="en-US"/>
        </w:rPr>
      </w:pPr>
      <w:r w:rsidRPr="0050768E">
        <w:rPr>
          <w:lang w:val="en-US"/>
        </w:rPr>
        <w:t xml:space="preserve">Pastor-Fernández, J., Sánchez-Bel, P., Gamir, J., Pastor, V., Sanmartín, N., Cerezo, M., &amp; Flors, V. (2022). Tomato systemin induces resistance against </w:t>
      </w:r>
      <w:proofErr w:type="spellStart"/>
      <w:r w:rsidRPr="00B16272">
        <w:rPr>
          <w:i/>
          <w:lang w:val="en-US"/>
        </w:rPr>
        <w:t>Plectosphaerella</w:t>
      </w:r>
      <w:proofErr w:type="spellEnd"/>
      <w:r w:rsidRPr="00B16272">
        <w:rPr>
          <w:i/>
          <w:lang w:val="en-US"/>
        </w:rPr>
        <w:t xml:space="preserve"> </w:t>
      </w:r>
      <w:proofErr w:type="spellStart"/>
      <w:r w:rsidRPr="00B16272">
        <w:rPr>
          <w:i/>
          <w:lang w:val="en-US"/>
        </w:rPr>
        <w:t>cucumerina</w:t>
      </w:r>
      <w:proofErr w:type="spellEnd"/>
      <w:r w:rsidRPr="0050768E">
        <w:rPr>
          <w:lang w:val="en-US"/>
        </w:rPr>
        <w:t xml:space="preserve"> in </w:t>
      </w:r>
      <w:r w:rsidRPr="0095505E">
        <w:rPr>
          <w:i/>
          <w:iCs/>
          <w:lang w:val="en-US"/>
        </w:rPr>
        <w:t>Arabidopsis</w:t>
      </w:r>
      <w:r w:rsidRPr="0050768E">
        <w:rPr>
          <w:lang w:val="en-US"/>
        </w:rPr>
        <w:t xml:space="preserve"> through phenolic compounds and priming of tryptophan derivatives. Plant Science, 321, 111321.</w:t>
      </w:r>
      <w:r w:rsidR="0095505E">
        <w:rPr>
          <w:lang w:val="el-GR"/>
        </w:rPr>
        <w:t xml:space="preserve"> </w:t>
      </w:r>
      <w:hyperlink r:id="rId18" w:tgtFrame="_blank" w:tooltip="Persistent link using digital object identifier" w:history="1">
        <w:r w:rsidR="0095505E" w:rsidRPr="0095505E">
          <w:rPr>
            <w:rStyle w:val="Hyperlink"/>
          </w:rPr>
          <w:t>https://doi.org/10.1016/j.plantsci.2022.111321</w:t>
        </w:r>
      </w:hyperlink>
      <w:r w:rsidR="0095505E">
        <w:rPr>
          <w:lang w:val="el-GR"/>
        </w:rPr>
        <w:t xml:space="preserve"> </w:t>
      </w:r>
    </w:p>
    <w:p w14:paraId="39F9EFCA" w14:textId="7D7B8F20" w:rsidR="00BB3780" w:rsidRPr="00B16272" w:rsidRDefault="00BB3780" w:rsidP="0095505E">
      <w:pPr>
        <w:pStyle w:val="ListParagraph"/>
        <w:numPr>
          <w:ilvl w:val="0"/>
          <w:numId w:val="22"/>
        </w:numPr>
        <w:spacing w:after="120" w:line="276" w:lineRule="auto"/>
        <w:ind w:left="426" w:hanging="426"/>
        <w:jc w:val="both"/>
        <w:rPr>
          <w:lang w:val="en-US"/>
        </w:rPr>
      </w:pPr>
      <w:r w:rsidRPr="00B16272">
        <w:rPr>
          <w:lang w:val="en-US"/>
        </w:rPr>
        <w:t xml:space="preserve">Pastor-Fernández, J., </w:t>
      </w:r>
      <w:proofErr w:type="spellStart"/>
      <w:r w:rsidRPr="00B16272">
        <w:rPr>
          <w:lang w:val="en-US"/>
        </w:rPr>
        <w:t>Sanmartín</w:t>
      </w:r>
      <w:proofErr w:type="spellEnd"/>
      <w:r w:rsidRPr="00B16272">
        <w:rPr>
          <w:lang w:val="en-US"/>
        </w:rPr>
        <w:t>, N., Manresa-</w:t>
      </w:r>
      <w:proofErr w:type="spellStart"/>
      <w:r w:rsidRPr="00B16272">
        <w:rPr>
          <w:lang w:val="en-US"/>
        </w:rPr>
        <w:t>Grao</w:t>
      </w:r>
      <w:proofErr w:type="spellEnd"/>
      <w:r w:rsidRPr="00B16272">
        <w:rPr>
          <w:lang w:val="en-US"/>
        </w:rPr>
        <w:t xml:space="preserve">, M., Cassan, C., Pétriacq, P., </w:t>
      </w:r>
      <w:proofErr w:type="spellStart"/>
      <w:r w:rsidRPr="00B16272">
        <w:rPr>
          <w:lang w:val="en-US"/>
        </w:rPr>
        <w:t>Gibon</w:t>
      </w:r>
      <w:proofErr w:type="spellEnd"/>
      <w:r w:rsidRPr="00B16272">
        <w:rPr>
          <w:lang w:val="en-US"/>
        </w:rPr>
        <w:t xml:space="preserve">, Y., Gamir, J., Romero-Rodríguez, B., Castillo, A. G., Cerezo, M., Flors, V., &amp; Sánchez-Bel, P. (2024). Deciphering molecular events behind systemin-induced resistance to </w:t>
      </w:r>
      <w:r w:rsidRPr="00DA3C87">
        <w:rPr>
          <w:i/>
          <w:lang w:val="en-US"/>
        </w:rPr>
        <w:t>Botrytis cinerea</w:t>
      </w:r>
      <w:r w:rsidRPr="00B16272">
        <w:rPr>
          <w:lang w:val="en-US"/>
        </w:rPr>
        <w:t xml:space="preserve"> in tomato plants. Journal of Experimental Botany, 75(13), 4111–4127.</w:t>
      </w:r>
      <w:r w:rsidR="0095505E">
        <w:rPr>
          <w:lang w:val="el-GR"/>
        </w:rPr>
        <w:t xml:space="preserve"> </w:t>
      </w:r>
      <w:hyperlink r:id="rId19" w:history="1">
        <w:r w:rsidR="0095505E" w:rsidRPr="0095505E">
          <w:rPr>
            <w:rStyle w:val="Hyperlink"/>
          </w:rPr>
          <w:t>https://doi.org/10.1093/jxb/erae146</w:t>
        </w:r>
      </w:hyperlink>
      <w:r w:rsidR="0095505E">
        <w:rPr>
          <w:lang w:val="el-GR"/>
        </w:rPr>
        <w:t xml:space="preserve"> </w:t>
      </w:r>
    </w:p>
    <w:p w14:paraId="4470F5F8" w14:textId="7284A7A4" w:rsidR="00BB3780" w:rsidRPr="0050768E" w:rsidRDefault="0095505E" w:rsidP="0095505E">
      <w:pPr>
        <w:pStyle w:val="ListParagraph"/>
        <w:numPr>
          <w:ilvl w:val="0"/>
          <w:numId w:val="22"/>
        </w:numPr>
        <w:spacing w:after="120" w:line="276" w:lineRule="auto"/>
        <w:ind w:left="426" w:hanging="426"/>
        <w:rPr>
          <w:lang w:val="en-US"/>
        </w:rPr>
      </w:pPr>
      <w:r w:rsidRPr="0095505E">
        <w:t xml:space="preserve">Pozo, M.J., &amp; Azcón-Aguilar, C. (2007). </w:t>
      </w:r>
      <w:proofErr w:type="spellStart"/>
      <w:r w:rsidRPr="0095505E">
        <w:t>Unraveling</w:t>
      </w:r>
      <w:proofErr w:type="spellEnd"/>
      <w:r w:rsidRPr="0095505E">
        <w:t xml:space="preserve"> mycorrhiza-induced resistance.</w:t>
      </w:r>
      <w:r w:rsidRPr="0095505E">
        <w:rPr>
          <w:lang w:val="en-US"/>
        </w:rPr>
        <w:t xml:space="preserve"> </w:t>
      </w:r>
      <w:r w:rsidRPr="0095505E">
        <w:t>Current opinion in plant biology, 10 4, 393-8.</w:t>
      </w:r>
      <w:r w:rsidRPr="0095505E">
        <w:rPr>
          <w:lang w:val="en-US"/>
        </w:rPr>
        <w:t xml:space="preserve"> </w:t>
      </w:r>
      <w:hyperlink r:id="rId20" w:history="1">
        <w:r w:rsidRPr="00A877A5">
          <w:rPr>
            <w:rStyle w:val="Hyperlink"/>
          </w:rPr>
          <w:t>https://doi.org/10.1016/j.pbi.2007.05.004</w:t>
        </w:r>
      </w:hyperlink>
      <w:r w:rsidR="00BB3780" w:rsidRPr="0050768E">
        <w:rPr>
          <w:lang w:val="en-US"/>
        </w:rPr>
        <w:t>.</w:t>
      </w:r>
    </w:p>
    <w:p w14:paraId="5553563B" w14:textId="27740EDA" w:rsidR="00BB3780" w:rsidRPr="0095505E" w:rsidRDefault="00BB3780" w:rsidP="0095505E">
      <w:pPr>
        <w:pStyle w:val="ListParagraph"/>
        <w:numPr>
          <w:ilvl w:val="0"/>
          <w:numId w:val="22"/>
        </w:numPr>
        <w:spacing w:after="120" w:line="276" w:lineRule="auto"/>
        <w:ind w:left="426" w:hanging="426"/>
        <w:jc w:val="both"/>
        <w:rPr>
          <w:lang w:val="en-US"/>
        </w:rPr>
      </w:pPr>
      <w:r w:rsidRPr="0050768E">
        <w:rPr>
          <w:lang w:val="en-US"/>
        </w:rPr>
        <w:t>Sparks T</w:t>
      </w:r>
      <w:r w:rsidR="0095505E" w:rsidRPr="0095505E">
        <w:rPr>
          <w:lang w:val="en-US"/>
        </w:rPr>
        <w:t>.</w:t>
      </w:r>
      <w:r w:rsidRPr="0050768E">
        <w:rPr>
          <w:lang w:val="en-US"/>
        </w:rPr>
        <w:t>C</w:t>
      </w:r>
      <w:r w:rsidR="0095505E" w:rsidRPr="0095505E">
        <w:rPr>
          <w:lang w:val="en-US"/>
        </w:rPr>
        <w:t>.</w:t>
      </w:r>
      <w:r w:rsidRPr="0050768E">
        <w:rPr>
          <w:lang w:val="en-US"/>
        </w:rPr>
        <w:t xml:space="preserve">, </w:t>
      </w:r>
      <w:proofErr w:type="spellStart"/>
      <w:r w:rsidRPr="0050768E">
        <w:rPr>
          <w:lang w:val="en-US"/>
        </w:rPr>
        <w:t>Nauen</w:t>
      </w:r>
      <w:proofErr w:type="spellEnd"/>
      <w:r w:rsidRPr="0050768E">
        <w:rPr>
          <w:lang w:val="en-US"/>
        </w:rPr>
        <w:t xml:space="preserve"> R</w:t>
      </w:r>
      <w:r w:rsidR="0095505E" w:rsidRPr="0095505E">
        <w:rPr>
          <w:lang w:val="en-US"/>
        </w:rPr>
        <w:t>.</w:t>
      </w:r>
      <w:r w:rsidRPr="0050768E">
        <w:rPr>
          <w:lang w:val="en-US"/>
        </w:rPr>
        <w:t xml:space="preserve"> (2015). IRAC: Mode of action classification and insecticide resistance management. Pesticide Biochemistry and Physiology 121: 122–128.</w:t>
      </w:r>
      <w:r w:rsidR="0095505E">
        <w:rPr>
          <w:lang w:val="el-GR"/>
        </w:rPr>
        <w:t xml:space="preserve"> </w:t>
      </w:r>
      <w:r w:rsidR="0095505E" w:rsidRPr="0095505E">
        <w:rPr>
          <w:lang w:val="en-US"/>
        </w:rPr>
        <w:t>DOI:</w:t>
      </w:r>
      <w:r w:rsidR="0095505E">
        <w:rPr>
          <w:lang w:val="el-GR"/>
        </w:rPr>
        <w:t xml:space="preserve"> </w:t>
      </w:r>
      <w:hyperlink r:id="rId21" w:tgtFrame="_blank" w:history="1">
        <w:r w:rsidR="0095505E" w:rsidRPr="0095505E">
          <w:rPr>
            <w:rStyle w:val="Hyperlink"/>
            <w:lang w:val="en-US"/>
          </w:rPr>
          <w:t>10.1016/j.pestbp.2014.11.014</w:t>
        </w:r>
      </w:hyperlink>
    </w:p>
    <w:p w14:paraId="1B2ED954" w14:textId="1EB9CCC1" w:rsidR="006A7C96" w:rsidRPr="0050768E" w:rsidRDefault="0095505E" w:rsidP="0095505E">
      <w:pPr>
        <w:pStyle w:val="ListParagraph"/>
        <w:numPr>
          <w:ilvl w:val="0"/>
          <w:numId w:val="22"/>
        </w:numPr>
        <w:spacing w:after="120" w:line="276" w:lineRule="auto"/>
        <w:ind w:left="426" w:hanging="426"/>
        <w:jc w:val="both"/>
        <w:rPr>
          <w:lang w:val="en-US"/>
        </w:rPr>
      </w:pPr>
      <w:r w:rsidRPr="0095505E">
        <w:t xml:space="preserve">Van Leeuwen, T., </w:t>
      </w:r>
      <w:proofErr w:type="spellStart"/>
      <w:r w:rsidRPr="0095505E">
        <w:t>Vontas</w:t>
      </w:r>
      <w:proofErr w:type="spellEnd"/>
      <w:r w:rsidRPr="0095505E">
        <w:t xml:space="preserve">, J., Tsagkarakou, A., </w:t>
      </w:r>
      <w:proofErr w:type="spellStart"/>
      <w:r w:rsidRPr="0095505E">
        <w:t>Dermauw</w:t>
      </w:r>
      <w:proofErr w:type="spellEnd"/>
      <w:r w:rsidRPr="0095505E">
        <w:t xml:space="preserve">, W., &amp; </w:t>
      </w:r>
      <w:proofErr w:type="spellStart"/>
      <w:r w:rsidRPr="0095505E">
        <w:t>Tirry</w:t>
      </w:r>
      <w:proofErr w:type="spellEnd"/>
      <w:r w:rsidRPr="0095505E">
        <w:t xml:space="preserve">, L. (2010). Acaricide resistance mechanisms in the two-spotted spider mite </w:t>
      </w:r>
      <w:proofErr w:type="spellStart"/>
      <w:r w:rsidRPr="0095505E">
        <w:rPr>
          <w:i/>
          <w:iCs/>
        </w:rPr>
        <w:t>Tetranychus</w:t>
      </w:r>
      <w:proofErr w:type="spellEnd"/>
      <w:r w:rsidRPr="0095505E">
        <w:rPr>
          <w:i/>
          <w:iCs/>
        </w:rPr>
        <w:t xml:space="preserve"> </w:t>
      </w:r>
      <w:proofErr w:type="spellStart"/>
      <w:r w:rsidRPr="0095505E">
        <w:rPr>
          <w:i/>
          <w:iCs/>
        </w:rPr>
        <w:t>urticae</w:t>
      </w:r>
      <w:proofErr w:type="spellEnd"/>
      <w:r w:rsidRPr="0095505E">
        <w:rPr>
          <w:i/>
          <w:iCs/>
        </w:rPr>
        <w:t xml:space="preserve"> </w:t>
      </w:r>
      <w:r w:rsidRPr="0095505E">
        <w:t>and other important Acari: a review.</w:t>
      </w:r>
      <w:r w:rsidRPr="0095505E">
        <w:rPr>
          <w:lang w:val="en-US"/>
        </w:rPr>
        <w:t xml:space="preserve"> </w:t>
      </w:r>
      <w:r w:rsidRPr="0095505E">
        <w:rPr>
          <w:i/>
          <w:iCs/>
        </w:rPr>
        <w:t>Insect biochemistry and molecular biology, 40 8</w:t>
      </w:r>
      <w:r w:rsidRPr="0095505E">
        <w:t>, 563-72.</w:t>
      </w:r>
      <w:r>
        <w:rPr>
          <w:lang w:val="el-GR"/>
        </w:rPr>
        <w:t xml:space="preserve"> </w:t>
      </w:r>
      <w:hyperlink r:id="rId22" w:tgtFrame="_blank" w:tooltip="Persistent link using digital object identifier" w:history="1">
        <w:r w:rsidRPr="0095505E">
          <w:rPr>
            <w:rStyle w:val="Hyperlink"/>
          </w:rPr>
          <w:t>https://doi.org/10.1016/j.ibmb.2010.05.008</w:t>
        </w:r>
      </w:hyperlink>
      <w:r>
        <w:rPr>
          <w:lang w:val="el-GR"/>
        </w:rPr>
        <w:t xml:space="preserve"> </w:t>
      </w:r>
    </w:p>
    <w:p w14:paraId="791FF869" w14:textId="10A4CF44" w:rsidR="00BB3780" w:rsidRPr="00BB3780" w:rsidRDefault="0095505E" w:rsidP="0095505E">
      <w:pPr>
        <w:pStyle w:val="ListParagraph"/>
        <w:numPr>
          <w:ilvl w:val="0"/>
          <w:numId w:val="22"/>
        </w:numPr>
        <w:spacing w:after="120" w:line="276" w:lineRule="auto"/>
        <w:ind w:left="426" w:hanging="426"/>
        <w:jc w:val="both"/>
        <w:rPr>
          <w:lang w:val="en-US"/>
        </w:rPr>
      </w:pPr>
      <w:proofErr w:type="spellStart"/>
      <w:r w:rsidRPr="0095505E">
        <w:t>Lenteren</w:t>
      </w:r>
      <w:proofErr w:type="spellEnd"/>
      <w:r w:rsidRPr="0095505E">
        <w:t>, J.C. (2012). The state of commercial augmentative biological control: plenty of natural enemies, but a frustrating lack of uptake.</w:t>
      </w:r>
      <w:r w:rsidRPr="0095505E">
        <w:rPr>
          <w:lang w:val="en-US"/>
        </w:rPr>
        <w:t xml:space="preserve"> </w:t>
      </w:r>
      <w:proofErr w:type="spellStart"/>
      <w:r w:rsidRPr="0095505E">
        <w:rPr>
          <w:i/>
          <w:iCs/>
        </w:rPr>
        <w:t>BioControl</w:t>
      </w:r>
      <w:proofErr w:type="spellEnd"/>
      <w:r w:rsidRPr="0095505E">
        <w:rPr>
          <w:i/>
          <w:iCs/>
        </w:rPr>
        <w:t>, 57</w:t>
      </w:r>
      <w:r w:rsidRPr="0095505E">
        <w:t>, 1-20.</w:t>
      </w:r>
      <w:r>
        <w:rPr>
          <w:lang w:val="el-GR"/>
        </w:rPr>
        <w:t xml:space="preserve"> </w:t>
      </w:r>
      <w:hyperlink r:id="rId23" w:history="1">
        <w:r w:rsidRPr="00A877A5">
          <w:rPr>
            <w:rStyle w:val="Hyperlink"/>
          </w:rPr>
          <w:t>https://doi.org/10.1007/s10526-011-9395-1</w:t>
        </w:r>
      </w:hyperlink>
      <w:r>
        <w:rPr>
          <w:lang w:val="el-GR"/>
        </w:rPr>
        <w:t xml:space="preserve"> </w:t>
      </w:r>
    </w:p>
    <w:sectPr w:rsidR="00BB3780" w:rsidRPr="00BB3780">
      <w:headerReference w:type="even" r:id="rId24"/>
      <w:headerReference w:type="default" r:id="rId25"/>
      <w:footerReference w:type="even" r:id="rId26"/>
      <w:footerReference w:type="default" r:id="rId27"/>
      <w:headerReference w:type="first" r:id="rId28"/>
      <w:footerReference w:type="first" r:id="rId29"/>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4B668" w14:textId="77777777" w:rsidR="00EF3ED4" w:rsidRDefault="00EF3ED4">
      <w:r>
        <w:separator/>
      </w:r>
    </w:p>
  </w:endnote>
  <w:endnote w:type="continuationSeparator" w:id="0">
    <w:p w14:paraId="4B7E9CF9" w14:textId="77777777" w:rsidR="00EF3ED4" w:rsidRDefault="00EF3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C42777F7-1B98-4C39-A815-F6273E73E9BE}"/>
    <w:embedBold r:id="rId2" w:fontKey="{CD3DA0DD-0D40-44F5-9BD2-1B392332BE50}"/>
    <w:embedItalic r:id="rId3" w:fontKey="{84F8B6E9-DDC7-4DAA-8962-BFF655CE5192}"/>
    <w:embedBoldItalic r:id="rId4" w:fontKey="{C131660F-8291-4673-8CE5-5BF3F3320E21}"/>
  </w:font>
  <w:font w:name="Trebuchet MS">
    <w:panose1 w:val="020B0603020202020204"/>
    <w:charset w:val="00"/>
    <w:family w:val="swiss"/>
    <w:pitch w:val="variable"/>
    <w:sig w:usb0="00000687" w:usb1="00000000" w:usb2="00000000" w:usb3="00000000" w:csb0="0000009F" w:csb1="00000000"/>
    <w:embedRegular r:id="rId5" w:fontKey="{16EAD577-A962-4B64-A724-A0CA87ADAA1C}"/>
    <w:embedBold r:id="rId6" w:fontKey="{46C8723A-852B-44B2-B37F-DD012ED820F5}"/>
    <w:embedItalic r:id="rId7" w:fontKey="{5342E6BC-1117-42E6-A9A4-D73BE608B043}"/>
    <w:embedBoldItalic r:id="rId8" w:fontKey="{2A275F87-771F-4B25-82B0-3205F42C2334}"/>
  </w:font>
  <w:font w:name="Tahoma">
    <w:panose1 w:val="020B0604030504040204"/>
    <w:charset w:val="00"/>
    <w:family w:val="swiss"/>
    <w:pitch w:val="variable"/>
    <w:sig w:usb0="E1002EFF" w:usb1="C000605B" w:usb2="00000029" w:usb3="00000000" w:csb0="000101FF" w:csb1="00000000"/>
    <w:embedRegular r:id="rId9" w:fontKey="{EFDC04C7-72D3-4810-BBBA-64EA7BB26F94}"/>
    <w:embedBold r:id="rId10" w:fontKey="{30F5009D-7E53-413A-AAFB-262787A29829}"/>
    <w:embedItalic r:id="rId11" w:fontKey="{48ACC94D-1015-4954-B028-EBDB861141F0}"/>
  </w:font>
  <w:font w:name="Arial Black">
    <w:panose1 w:val="020B0A04020102020204"/>
    <w:charset w:val="00"/>
    <w:family w:val="swiss"/>
    <w:pitch w:val="variable"/>
    <w:sig w:usb0="A00002AF" w:usb1="400078FB" w:usb2="00000000" w:usb3="00000000" w:csb0="0000009F" w:csb1="00000000"/>
    <w:embedRegular r:id="rId12" w:fontKey="{558D9F3B-562D-4BB5-83A8-E5B91379DF39}"/>
    <w:embedItalic r:id="rId13" w:fontKey="{03D222C4-16FD-49FD-A44D-381CF0636C6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4" w:fontKey="{C984C46E-2E78-47B5-8838-2B2480197458}"/>
    <w:embedBold r:id="rId15" w:fontKey="{50B3334F-71BC-4972-B2EA-4326DEB8E024}"/>
    <w:embedBoldItalic r:id="rId16" w:fontKey="{D48481EA-EF39-4063-B382-240EBBA7C358}"/>
  </w:font>
  <w:font w:name="Georgia">
    <w:panose1 w:val="02040502050405020303"/>
    <w:charset w:val="00"/>
    <w:family w:val="roman"/>
    <w:pitch w:val="variable"/>
    <w:sig w:usb0="00000287" w:usb1="00000000" w:usb2="00000000" w:usb3="00000000" w:csb0="0000009F" w:csb1="00000000"/>
    <w:embedRegular r:id="rId17" w:fontKey="{3A17F481-2C00-4F0E-923F-66ACC7F5734B}"/>
    <w:embedItalic r:id="rId18" w:fontKey="{11D3015C-A36C-4632-8E56-2330866A9D86}"/>
  </w:font>
  <w:font w:name="Roboto-Regular">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9" w:fontKey="{0E8ED248-58FB-4063-99BE-A92261ADE4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F6216C" w:rsidRDefault="00F6216C">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F6216C" w:rsidRDefault="00F6216C">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 xml:space="preserve"> </w:t>
    </w:r>
  </w:p>
  <w:p w14:paraId="69E0676D" w14:textId="77777777" w:rsidR="00F6216C" w:rsidRDefault="00F6216C">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F6216C" w:rsidRDefault="00F6216C">
    <w:pPr>
      <w:pBdr>
        <w:top w:val="nil"/>
        <w:left w:val="nil"/>
        <w:bottom w:val="nil"/>
        <w:right w:val="nil"/>
        <w:between w:val="nil"/>
      </w:pBdr>
      <w:tabs>
        <w:tab w:val="center" w:pos="4153"/>
        <w:tab w:val="right" w:pos="8306"/>
      </w:tabs>
      <w:ind w:right="360"/>
      <w:rPr>
        <w:color w:val="000000"/>
        <w:sz w:val="20"/>
        <w:szCs w:val="20"/>
      </w:rPr>
    </w:pPr>
    <w:bookmarkStart w:id="7" w:name="_heading=h.23ckvvd" w:colFirst="0" w:colLast="0"/>
    <w:bookmarkEnd w:id="7"/>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F6216C" w:rsidRDefault="00F6216C">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F6216C" w:rsidRDefault="00F6216C">
                    <w:pPr>
                      <w:textDirection w:val="btLr"/>
                    </w:pPr>
                  </w:p>
                </w:txbxContent>
              </v:textbox>
            </v:rect>
          </w:pict>
        </mc:Fallback>
      </mc:AlternateContent>
    </w:r>
  </w:p>
  <w:p w14:paraId="40D025E5" w14:textId="52A0B5DC" w:rsidR="00F6216C" w:rsidRDefault="00F6216C">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F6216C" w:rsidRPr="000F31CE" w:rsidRDefault="00F6216C"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F6216C" w:rsidRPr="000F31CE" w:rsidRDefault="00F6216C"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F6216C" w:rsidRPr="000F31CE" w:rsidRDefault="00F6216C"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F6216C" w:rsidRPr="000F31CE" w:rsidRDefault="00F6216C"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F6216C" w:rsidRPr="000F31CE" w:rsidRDefault="00F6216C"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F6216C" w:rsidRPr="000F31CE" w:rsidRDefault="00F6216C"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7"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F6216C" w:rsidRDefault="00F6216C">
    <w:pPr>
      <w:pBdr>
        <w:top w:val="nil"/>
        <w:left w:val="nil"/>
        <w:bottom w:val="nil"/>
        <w:right w:val="nil"/>
        <w:between w:val="nil"/>
      </w:pBdr>
      <w:tabs>
        <w:tab w:val="center" w:pos="4153"/>
        <w:tab w:val="right" w:pos="8306"/>
      </w:tabs>
      <w:rPr>
        <w:color w:val="000000"/>
      </w:rPr>
    </w:pPr>
  </w:p>
  <w:p w14:paraId="27281B5F" w14:textId="77777777" w:rsidR="00F6216C" w:rsidRDefault="00F6216C">
    <w:pPr>
      <w:pBdr>
        <w:top w:val="nil"/>
        <w:left w:val="nil"/>
        <w:bottom w:val="nil"/>
        <w:right w:val="nil"/>
        <w:between w:val="nil"/>
      </w:pBdr>
      <w:tabs>
        <w:tab w:val="center" w:pos="4153"/>
        <w:tab w:val="right" w:pos="8306"/>
      </w:tabs>
      <w:rPr>
        <w:color w:val="000000"/>
      </w:rPr>
    </w:pPr>
  </w:p>
  <w:p w14:paraId="48AECD39" w14:textId="77777777" w:rsidR="00F6216C" w:rsidRDefault="00F6216C">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E9510" w14:textId="77777777" w:rsidR="00EF3ED4" w:rsidRDefault="00EF3ED4">
      <w:r>
        <w:separator/>
      </w:r>
    </w:p>
  </w:footnote>
  <w:footnote w:type="continuationSeparator" w:id="0">
    <w:p w14:paraId="368EB740" w14:textId="77777777" w:rsidR="00EF3ED4" w:rsidRDefault="00EF3E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F6216C" w:rsidRDefault="00F6216C">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F6216C" w14:paraId="12ABE71B" w14:textId="77777777" w:rsidTr="00F6216C">
      <w:trPr>
        <w:trHeight w:val="359"/>
      </w:trPr>
      <w:tc>
        <w:tcPr>
          <w:tcW w:w="2290" w:type="dxa"/>
          <w:vAlign w:val="center"/>
        </w:tcPr>
        <w:p w14:paraId="056A4AA3" w14:textId="53A790F8" w:rsidR="00F6216C" w:rsidRDefault="00F6216C"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2"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F6216C" w:rsidRDefault="00F6216C"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F6216C" w:rsidRDefault="00F6216C"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3"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F6216C" w:rsidRPr="0057417C" w:rsidRDefault="00F6216C"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F6216C" w14:paraId="79E752D1" w14:textId="77777777" w:rsidTr="002E0D68">
      <w:trPr>
        <w:trHeight w:val="359"/>
      </w:trPr>
      <w:tc>
        <w:tcPr>
          <w:tcW w:w="2290" w:type="dxa"/>
          <w:shd w:val="clear" w:color="auto" w:fill="auto"/>
          <w:vAlign w:val="center"/>
        </w:tcPr>
        <w:p w14:paraId="7AAD2076" w14:textId="658E8C1F" w:rsidR="00F6216C" w:rsidRDefault="00F6216C"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4"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F6216C" w:rsidRDefault="00F6216C">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F6216C" w:rsidRDefault="00F6216C">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5"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F6216C" w:rsidRDefault="00F6216C"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4391"/>
    <w:multiLevelType w:val="hybridMultilevel"/>
    <w:tmpl w:val="AC385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5"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216285"/>
    <w:multiLevelType w:val="multilevel"/>
    <w:tmpl w:val="B50A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018762">
    <w:abstractNumId w:val="2"/>
  </w:num>
  <w:num w:numId="2" w16cid:durableId="759525950">
    <w:abstractNumId w:val="1"/>
  </w:num>
  <w:num w:numId="3" w16cid:durableId="676540076">
    <w:abstractNumId w:val="6"/>
  </w:num>
  <w:num w:numId="4" w16cid:durableId="83695667">
    <w:abstractNumId w:val="3"/>
  </w:num>
  <w:num w:numId="5" w16cid:durableId="2044281251">
    <w:abstractNumId w:val="3"/>
  </w:num>
  <w:num w:numId="6" w16cid:durableId="1961646207">
    <w:abstractNumId w:val="3"/>
  </w:num>
  <w:num w:numId="7" w16cid:durableId="1500191085">
    <w:abstractNumId w:val="3"/>
  </w:num>
  <w:num w:numId="8" w16cid:durableId="1601765489">
    <w:abstractNumId w:val="3"/>
  </w:num>
  <w:num w:numId="9" w16cid:durableId="1306929533">
    <w:abstractNumId w:val="3"/>
  </w:num>
  <w:num w:numId="10" w16cid:durableId="1585841027">
    <w:abstractNumId w:val="3"/>
  </w:num>
  <w:num w:numId="11" w16cid:durableId="1952467488">
    <w:abstractNumId w:val="3"/>
  </w:num>
  <w:num w:numId="12" w16cid:durableId="666249585">
    <w:abstractNumId w:val="3"/>
  </w:num>
  <w:num w:numId="13" w16cid:durableId="469517143">
    <w:abstractNumId w:val="3"/>
  </w:num>
  <w:num w:numId="14" w16cid:durableId="1929923495">
    <w:abstractNumId w:val="3"/>
  </w:num>
  <w:num w:numId="15" w16cid:durableId="405962261">
    <w:abstractNumId w:val="3"/>
  </w:num>
  <w:num w:numId="16" w16cid:durableId="2085757831">
    <w:abstractNumId w:val="5"/>
  </w:num>
  <w:num w:numId="17" w16cid:durableId="753472112">
    <w:abstractNumId w:val="7"/>
  </w:num>
  <w:num w:numId="18" w16cid:durableId="1074620717">
    <w:abstractNumId w:val="3"/>
  </w:num>
  <w:num w:numId="19" w16cid:durableId="1873305137">
    <w:abstractNumId w:val="3"/>
  </w:num>
  <w:num w:numId="20" w16cid:durableId="826478287">
    <w:abstractNumId w:val="3"/>
  </w:num>
  <w:num w:numId="21" w16cid:durableId="478956672">
    <w:abstractNumId w:val="4"/>
  </w:num>
  <w:num w:numId="22" w16cid:durableId="1728605809">
    <w:abstractNumId w:val="0"/>
  </w:num>
  <w:num w:numId="23" w16cid:durableId="9032209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37777"/>
    <w:rsid w:val="0008194A"/>
    <w:rsid w:val="000834C0"/>
    <w:rsid w:val="000925AE"/>
    <w:rsid w:val="000A3CCE"/>
    <w:rsid w:val="000C73E9"/>
    <w:rsid w:val="000D1DC4"/>
    <w:rsid w:val="000F31CE"/>
    <w:rsid w:val="000F6BEA"/>
    <w:rsid w:val="00102338"/>
    <w:rsid w:val="0010283B"/>
    <w:rsid w:val="001124CA"/>
    <w:rsid w:val="00113562"/>
    <w:rsid w:val="00123B8D"/>
    <w:rsid w:val="00124FBC"/>
    <w:rsid w:val="001257C3"/>
    <w:rsid w:val="001340DF"/>
    <w:rsid w:val="00145598"/>
    <w:rsid w:val="0016031F"/>
    <w:rsid w:val="00167E6D"/>
    <w:rsid w:val="001733C7"/>
    <w:rsid w:val="00183B14"/>
    <w:rsid w:val="001A20CD"/>
    <w:rsid w:val="001D137F"/>
    <w:rsid w:val="001D70C6"/>
    <w:rsid w:val="001F2FB1"/>
    <w:rsid w:val="00213B2F"/>
    <w:rsid w:val="00224EE3"/>
    <w:rsid w:val="00227FB9"/>
    <w:rsid w:val="002353DF"/>
    <w:rsid w:val="00245514"/>
    <w:rsid w:val="002478EE"/>
    <w:rsid w:val="002674D8"/>
    <w:rsid w:val="002771CB"/>
    <w:rsid w:val="002B764B"/>
    <w:rsid w:val="002C2135"/>
    <w:rsid w:val="002E0D68"/>
    <w:rsid w:val="002F711C"/>
    <w:rsid w:val="00310BD9"/>
    <w:rsid w:val="003227CD"/>
    <w:rsid w:val="0034376D"/>
    <w:rsid w:val="0034533E"/>
    <w:rsid w:val="0035206B"/>
    <w:rsid w:val="00374659"/>
    <w:rsid w:val="003760CF"/>
    <w:rsid w:val="00386EAC"/>
    <w:rsid w:val="00392F7E"/>
    <w:rsid w:val="003A6472"/>
    <w:rsid w:val="003B2E4F"/>
    <w:rsid w:val="003B3BA9"/>
    <w:rsid w:val="003C071E"/>
    <w:rsid w:val="003D2F10"/>
    <w:rsid w:val="003D416E"/>
    <w:rsid w:val="003D5410"/>
    <w:rsid w:val="003E2DE9"/>
    <w:rsid w:val="003F0E21"/>
    <w:rsid w:val="003F1041"/>
    <w:rsid w:val="0041284A"/>
    <w:rsid w:val="00421AF9"/>
    <w:rsid w:val="004400C3"/>
    <w:rsid w:val="004416A8"/>
    <w:rsid w:val="00471643"/>
    <w:rsid w:val="00481FE7"/>
    <w:rsid w:val="00487B80"/>
    <w:rsid w:val="0049537E"/>
    <w:rsid w:val="004A53B2"/>
    <w:rsid w:val="004D46CA"/>
    <w:rsid w:val="004D4974"/>
    <w:rsid w:val="004F2DB3"/>
    <w:rsid w:val="004F6B40"/>
    <w:rsid w:val="00500287"/>
    <w:rsid w:val="0050768E"/>
    <w:rsid w:val="0051575A"/>
    <w:rsid w:val="005264FE"/>
    <w:rsid w:val="005302DA"/>
    <w:rsid w:val="005441C2"/>
    <w:rsid w:val="00544480"/>
    <w:rsid w:val="0055397F"/>
    <w:rsid w:val="00566AAE"/>
    <w:rsid w:val="0057417C"/>
    <w:rsid w:val="005750D8"/>
    <w:rsid w:val="00577FB8"/>
    <w:rsid w:val="00582225"/>
    <w:rsid w:val="0058428C"/>
    <w:rsid w:val="00586F71"/>
    <w:rsid w:val="0059355F"/>
    <w:rsid w:val="005B2B2E"/>
    <w:rsid w:val="005B318B"/>
    <w:rsid w:val="005B6F50"/>
    <w:rsid w:val="005C3BB7"/>
    <w:rsid w:val="005C643D"/>
    <w:rsid w:val="005D33E5"/>
    <w:rsid w:val="005D680C"/>
    <w:rsid w:val="005E3BC0"/>
    <w:rsid w:val="005E3FE9"/>
    <w:rsid w:val="005E6B69"/>
    <w:rsid w:val="005F1A17"/>
    <w:rsid w:val="005F58EF"/>
    <w:rsid w:val="005F63A8"/>
    <w:rsid w:val="00610998"/>
    <w:rsid w:val="00616C36"/>
    <w:rsid w:val="00624028"/>
    <w:rsid w:val="00625C58"/>
    <w:rsid w:val="00636E13"/>
    <w:rsid w:val="00655D86"/>
    <w:rsid w:val="00661F95"/>
    <w:rsid w:val="006667FE"/>
    <w:rsid w:val="00684F68"/>
    <w:rsid w:val="0068753B"/>
    <w:rsid w:val="00691E40"/>
    <w:rsid w:val="006943FF"/>
    <w:rsid w:val="006A0602"/>
    <w:rsid w:val="006A67BF"/>
    <w:rsid w:val="006A7C96"/>
    <w:rsid w:val="006E236D"/>
    <w:rsid w:val="006E6ED7"/>
    <w:rsid w:val="006F774B"/>
    <w:rsid w:val="0071739A"/>
    <w:rsid w:val="0072154B"/>
    <w:rsid w:val="00721E80"/>
    <w:rsid w:val="00722206"/>
    <w:rsid w:val="00724324"/>
    <w:rsid w:val="00732593"/>
    <w:rsid w:val="007355FC"/>
    <w:rsid w:val="00741DA1"/>
    <w:rsid w:val="00751105"/>
    <w:rsid w:val="0076767B"/>
    <w:rsid w:val="0077027E"/>
    <w:rsid w:val="00795FC6"/>
    <w:rsid w:val="00796F33"/>
    <w:rsid w:val="007A5732"/>
    <w:rsid w:val="007B7882"/>
    <w:rsid w:val="007D23E5"/>
    <w:rsid w:val="007D5FA2"/>
    <w:rsid w:val="007D6106"/>
    <w:rsid w:val="007D72AD"/>
    <w:rsid w:val="00801E6B"/>
    <w:rsid w:val="00802C21"/>
    <w:rsid w:val="00815DF1"/>
    <w:rsid w:val="008225A7"/>
    <w:rsid w:val="008232D3"/>
    <w:rsid w:val="00827AA0"/>
    <w:rsid w:val="00843353"/>
    <w:rsid w:val="00844358"/>
    <w:rsid w:val="00845280"/>
    <w:rsid w:val="00864C01"/>
    <w:rsid w:val="00876735"/>
    <w:rsid w:val="00877982"/>
    <w:rsid w:val="00884913"/>
    <w:rsid w:val="00884FB5"/>
    <w:rsid w:val="008856EB"/>
    <w:rsid w:val="00892FCE"/>
    <w:rsid w:val="008A2711"/>
    <w:rsid w:val="008C4B9C"/>
    <w:rsid w:val="008C5218"/>
    <w:rsid w:val="008C6936"/>
    <w:rsid w:val="008D140F"/>
    <w:rsid w:val="008D6BCA"/>
    <w:rsid w:val="008D7F90"/>
    <w:rsid w:val="008E0983"/>
    <w:rsid w:val="008F2FC9"/>
    <w:rsid w:val="008F4A2C"/>
    <w:rsid w:val="0090054C"/>
    <w:rsid w:val="009067C4"/>
    <w:rsid w:val="00920050"/>
    <w:rsid w:val="00951B6E"/>
    <w:rsid w:val="0095505E"/>
    <w:rsid w:val="0095789D"/>
    <w:rsid w:val="00960AA2"/>
    <w:rsid w:val="00961887"/>
    <w:rsid w:val="00983FDF"/>
    <w:rsid w:val="00986152"/>
    <w:rsid w:val="009B231E"/>
    <w:rsid w:val="009B3B87"/>
    <w:rsid w:val="009B5089"/>
    <w:rsid w:val="009C5FF7"/>
    <w:rsid w:val="009D7C4C"/>
    <w:rsid w:val="009E3420"/>
    <w:rsid w:val="009E7A7C"/>
    <w:rsid w:val="009F015B"/>
    <w:rsid w:val="009F1204"/>
    <w:rsid w:val="009F2DE3"/>
    <w:rsid w:val="009F2E5A"/>
    <w:rsid w:val="009F4793"/>
    <w:rsid w:val="00A22E42"/>
    <w:rsid w:val="00A231FC"/>
    <w:rsid w:val="00A35052"/>
    <w:rsid w:val="00A47FEC"/>
    <w:rsid w:val="00A50100"/>
    <w:rsid w:val="00A53840"/>
    <w:rsid w:val="00A76656"/>
    <w:rsid w:val="00A91F31"/>
    <w:rsid w:val="00A97ADD"/>
    <w:rsid w:val="00AA6395"/>
    <w:rsid w:val="00AB6314"/>
    <w:rsid w:val="00AC200D"/>
    <w:rsid w:val="00AC3EC2"/>
    <w:rsid w:val="00AD5AA9"/>
    <w:rsid w:val="00AF222C"/>
    <w:rsid w:val="00AF7816"/>
    <w:rsid w:val="00B11CCE"/>
    <w:rsid w:val="00B16272"/>
    <w:rsid w:val="00B1642B"/>
    <w:rsid w:val="00B52689"/>
    <w:rsid w:val="00B56B9C"/>
    <w:rsid w:val="00B6314F"/>
    <w:rsid w:val="00B6589D"/>
    <w:rsid w:val="00B73327"/>
    <w:rsid w:val="00BB3780"/>
    <w:rsid w:val="00BB5EB9"/>
    <w:rsid w:val="00BC0D2C"/>
    <w:rsid w:val="00BC56EB"/>
    <w:rsid w:val="00BE0B72"/>
    <w:rsid w:val="00BE10B4"/>
    <w:rsid w:val="00BE39CD"/>
    <w:rsid w:val="00BF27F0"/>
    <w:rsid w:val="00BF740F"/>
    <w:rsid w:val="00C01458"/>
    <w:rsid w:val="00C07889"/>
    <w:rsid w:val="00C12356"/>
    <w:rsid w:val="00C12EB6"/>
    <w:rsid w:val="00C14BD4"/>
    <w:rsid w:val="00C22135"/>
    <w:rsid w:val="00C32A22"/>
    <w:rsid w:val="00C43BA6"/>
    <w:rsid w:val="00C45494"/>
    <w:rsid w:val="00C56585"/>
    <w:rsid w:val="00C63BCA"/>
    <w:rsid w:val="00C66A5D"/>
    <w:rsid w:val="00C703F8"/>
    <w:rsid w:val="00C73577"/>
    <w:rsid w:val="00C740CE"/>
    <w:rsid w:val="00C76334"/>
    <w:rsid w:val="00C82E96"/>
    <w:rsid w:val="00C8497B"/>
    <w:rsid w:val="00C866DB"/>
    <w:rsid w:val="00CA3BD1"/>
    <w:rsid w:val="00CA513E"/>
    <w:rsid w:val="00CA6D44"/>
    <w:rsid w:val="00CA6E1F"/>
    <w:rsid w:val="00CD1B86"/>
    <w:rsid w:val="00CE0E1E"/>
    <w:rsid w:val="00CF1421"/>
    <w:rsid w:val="00CF3C79"/>
    <w:rsid w:val="00CF3D2F"/>
    <w:rsid w:val="00D003A3"/>
    <w:rsid w:val="00D35B8D"/>
    <w:rsid w:val="00D46825"/>
    <w:rsid w:val="00D46D0F"/>
    <w:rsid w:val="00D77F91"/>
    <w:rsid w:val="00DA3C87"/>
    <w:rsid w:val="00DB1633"/>
    <w:rsid w:val="00DC3AEA"/>
    <w:rsid w:val="00DD3A64"/>
    <w:rsid w:val="00DF304A"/>
    <w:rsid w:val="00DF3A30"/>
    <w:rsid w:val="00E145E5"/>
    <w:rsid w:val="00E14B27"/>
    <w:rsid w:val="00E21BCD"/>
    <w:rsid w:val="00E22962"/>
    <w:rsid w:val="00E26175"/>
    <w:rsid w:val="00E35CAD"/>
    <w:rsid w:val="00E36B37"/>
    <w:rsid w:val="00E40C5A"/>
    <w:rsid w:val="00E415CE"/>
    <w:rsid w:val="00E647AC"/>
    <w:rsid w:val="00E83991"/>
    <w:rsid w:val="00E95DCC"/>
    <w:rsid w:val="00EA3B33"/>
    <w:rsid w:val="00EA75E8"/>
    <w:rsid w:val="00EB3408"/>
    <w:rsid w:val="00EB42C8"/>
    <w:rsid w:val="00EC72BA"/>
    <w:rsid w:val="00ED7BBC"/>
    <w:rsid w:val="00EF3ED4"/>
    <w:rsid w:val="00F05EE8"/>
    <w:rsid w:val="00F12FEE"/>
    <w:rsid w:val="00F300FC"/>
    <w:rsid w:val="00F31292"/>
    <w:rsid w:val="00F368C5"/>
    <w:rsid w:val="00F436C1"/>
    <w:rsid w:val="00F467AE"/>
    <w:rsid w:val="00F52653"/>
    <w:rsid w:val="00F6216C"/>
    <w:rsid w:val="00FA04CA"/>
    <w:rsid w:val="00FB0DA1"/>
    <w:rsid w:val="00FD3345"/>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jc w:val="both"/>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oi.org/10.1016/j.plantsci.2022.111321"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doi.org/10.1016/j.pestbp.2014.11.014"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doi.org/10.1146/annurev.arplant.59.032607.092825"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oi.org/10.1007/s10340-010-0321-6" TargetMode="External"/><Relationship Id="rId20" Type="http://schemas.openxmlformats.org/officeDocument/2006/relationships/hyperlink" Target="https://doi.org/10.1016/j.pbi.2007.05.00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doi.org/10.1007/s10526-011-9395-1"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doi.org/10.1093/jxb/erae146"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1016/j.ibmb.2010.05.008"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915;&#913;&#923;&#919;&#925;&#919;\Documents\&#916;&#953;&#948;&#945;&#954;&#964;&#959;&#961;&#953;&#954;&#972;\&#917;&#956;&#946;&#955;&#951;&#956;&#945;&#964;&#953;&#954;&#942;2023\Experiments\&#917;&#956;&#946;&#955;&#951;&#956;&#945;&#964;&#953;&#954;&#942;_RESULTS_BE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ppa\OneDrive\Desktop\&#928;&#945;&#961;&#945;&#948;&#959;&#964;&#941;&#945;%20&#917;&#956;&#946;&#955;&#951;&#956;&#945;&#964;&#953;&#954;&#942;_FINAL\&#917;&#917;3\&#928;3.4.4\Tuta%20absoluta_performance_RESULTS_Ioann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86888">
                <a:alpha val="69804"/>
              </a:srgbClr>
            </a:solidFill>
            <a:ln>
              <a:noFill/>
            </a:ln>
            <a:effectLst/>
          </c:spPr>
          <c:invertIfNegative val="0"/>
          <c:dPt>
            <c:idx val="0"/>
            <c:invertIfNegative val="0"/>
            <c:bubble3D val="0"/>
            <c:spPr>
              <a:solidFill>
                <a:schemeClr val="bg1">
                  <a:alpha val="69804"/>
                </a:schemeClr>
              </a:solidFill>
              <a:ln>
                <a:solidFill>
                  <a:sysClr val="windowText" lastClr="000000"/>
                </a:solidFill>
              </a:ln>
              <a:effectLst/>
            </c:spPr>
            <c:extLst>
              <c:ext xmlns:c16="http://schemas.microsoft.com/office/drawing/2014/chart" uri="{C3380CC4-5D6E-409C-BE32-E72D297353CC}">
                <c16:uniqueId val="{00000001-C298-4D4D-AFFC-C74AD445B8AB}"/>
              </c:ext>
            </c:extLst>
          </c:dPt>
          <c:dPt>
            <c:idx val="1"/>
            <c:invertIfNegative val="0"/>
            <c:bubble3D val="0"/>
            <c:spPr>
              <a:solidFill>
                <a:schemeClr val="accent1">
                  <a:alpha val="69804"/>
                </a:schemeClr>
              </a:solidFill>
              <a:ln>
                <a:solidFill>
                  <a:sysClr val="windowText" lastClr="000000"/>
                </a:solidFill>
              </a:ln>
              <a:effectLst/>
            </c:spPr>
            <c:extLst>
              <c:ext xmlns:c16="http://schemas.microsoft.com/office/drawing/2014/chart" uri="{C3380CC4-5D6E-409C-BE32-E72D297353CC}">
                <c16:uniqueId val="{00000003-C298-4D4D-AFFC-C74AD445B8AB}"/>
              </c:ext>
            </c:extLst>
          </c:dPt>
          <c:dPt>
            <c:idx val="2"/>
            <c:invertIfNegative val="0"/>
            <c:bubble3D val="0"/>
            <c:spPr>
              <a:solidFill>
                <a:schemeClr val="accent1">
                  <a:alpha val="69804"/>
                </a:schemeClr>
              </a:solidFill>
              <a:ln>
                <a:solidFill>
                  <a:sysClr val="windowText" lastClr="000000"/>
                </a:solidFill>
              </a:ln>
              <a:effectLst/>
            </c:spPr>
            <c:extLst>
              <c:ext xmlns:c16="http://schemas.microsoft.com/office/drawing/2014/chart" uri="{C3380CC4-5D6E-409C-BE32-E72D297353CC}">
                <c16:uniqueId val="{00000005-C298-4D4D-AFFC-C74AD445B8AB}"/>
              </c:ext>
            </c:extLst>
          </c:dPt>
          <c:dPt>
            <c:idx val="3"/>
            <c:invertIfNegative val="0"/>
            <c:bubble3D val="0"/>
            <c:spPr>
              <a:solidFill>
                <a:schemeClr val="accent1">
                  <a:alpha val="69804"/>
                </a:schemeClr>
              </a:solidFill>
              <a:ln>
                <a:solidFill>
                  <a:sysClr val="windowText" lastClr="000000"/>
                </a:solidFill>
              </a:ln>
              <a:effectLst/>
            </c:spPr>
            <c:extLst>
              <c:ext xmlns:c16="http://schemas.microsoft.com/office/drawing/2014/chart" uri="{C3380CC4-5D6E-409C-BE32-E72D297353CC}">
                <c16:uniqueId val="{00000007-C298-4D4D-AFFC-C74AD445B8AB}"/>
              </c:ext>
            </c:extLst>
          </c:dPt>
          <c:errBars>
            <c:errBarType val="both"/>
            <c:errValType val="stdErr"/>
            <c:noEndCap val="0"/>
            <c:spPr>
              <a:noFill/>
              <a:ln w="9525">
                <a:solidFill>
                  <a:schemeClr val="tx1">
                    <a:lumMod val="65000"/>
                    <a:lumOff val="35000"/>
                  </a:schemeClr>
                </a:solidFill>
                <a:round/>
              </a:ln>
              <a:effectLst/>
            </c:spPr>
          </c:errBars>
          <c:cat>
            <c:strRef>
              <c:f>BEM.3!$I$9:$I$12</c:f>
              <c:strCache>
                <c:ptCount val="4"/>
                <c:pt idx="0">
                  <c:v>Control</c:v>
                </c:pt>
                <c:pt idx="1">
                  <c:v>QS69</c:v>
                </c:pt>
                <c:pt idx="2">
                  <c:v>Trehalose</c:v>
                </c:pt>
                <c:pt idx="3">
                  <c:v>Systemin</c:v>
                </c:pt>
              </c:strCache>
            </c:strRef>
          </c:cat>
          <c:val>
            <c:numRef>
              <c:f>BEM.3!$J$9:$J$12</c:f>
              <c:numCache>
                <c:formatCode>General</c:formatCode>
                <c:ptCount val="4"/>
                <c:pt idx="0">
                  <c:v>108.666</c:v>
                </c:pt>
                <c:pt idx="1">
                  <c:v>40.665999999999997</c:v>
                </c:pt>
                <c:pt idx="2">
                  <c:v>53.165999999999997</c:v>
                </c:pt>
                <c:pt idx="3">
                  <c:v>63.665999999999997</c:v>
                </c:pt>
              </c:numCache>
            </c:numRef>
          </c:val>
          <c:extLst>
            <c:ext xmlns:c16="http://schemas.microsoft.com/office/drawing/2014/chart" uri="{C3380CC4-5D6E-409C-BE32-E72D297353CC}">
              <c16:uniqueId val="{00000008-C298-4D4D-AFFC-C74AD445B8AB}"/>
            </c:ext>
          </c:extLst>
        </c:ser>
        <c:dLbls>
          <c:showLegendKey val="0"/>
          <c:showVal val="0"/>
          <c:showCatName val="0"/>
          <c:showSerName val="0"/>
          <c:showPercent val="0"/>
          <c:showBubbleSize val="0"/>
        </c:dLbls>
        <c:gapWidth val="219"/>
        <c:overlap val="-27"/>
        <c:axId val="663793248"/>
        <c:axId val="526885896"/>
      </c:barChart>
      <c:catAx>
        <c:axId val="6637932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solidFill>
                <a:latin typeface="+mn-lt"/>
                <a:ea typeface="+mn-ea"/>
                <a:cs typeface="+mn-cs"/>
              </a:defRPr>
            </a:pPr>
            <a:endParaRPr lang="en-US"/>
          </a:p>
        </c:txPr>
        <c:crossAx val="526885896"/>
        <c:crosses val="autoZero"/>
        <c:auto val="1"/>
        <c:lblAlgn val="ctr"/>
        <c:lblOffset val="100"/>
        <c:noMultiLvlLbl val="0"/>
      </c:catAx>
      <c:valAx>
        <c:axId val="526885896"/>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solidFill>
                      <a:schemeClr val="tx1"/>
                    </a:solidFill>
                  </a:rPr>
                  <a:t>whitefly</a:t>
                </a:r>
                <a:r>
                  <a:rPr lang="en-US" baseline="0">
                    <a:solidFill>
                      <a:schemeClr val="tx1"/>
                    </a:solidFill>
                  </a:rPr>
                  <a:t> eggs/plant</a:t>
                </a:r>
                <a:endParaRPr lang="el-G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en-US"/>
          </a:p>
        </c:txPr>
        <c:crossAx val="6637932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ysClr val="windowText" lastClr="000000"/>
              </a:solidFill>
            </a:ln>
            <a:effectLst/>
          </c:spPr>
          <c:invertIfNegative val="0"/>
          <c:dPt>
            <c:idx val="3"/>
            <c:invertIfNegative val="0"/>
            <c:bubble3D val="0"/>
            <c:spPr>
              <a:solidFill>
                <a:sysClr val="window" lastClr="FFFFFF"/>
              </a:solidFill>
              <a:ln>
                <a:solidFill>
                  <a:sysClr val="windowText" lastClr="000000"/>
                </a:solidFill>
              </a:ln>
              <a:effectLst/>
            </c:spPr>
            <c:extLst>
              <c:ext xmlns:c16="http://schemas.microsoft.com/office/drawing/2014/chart" uri="{C3380CC4-5D6E-409C-BE32-E72D297353CC}">
                <c16:uniqueId val="{00000001-AB58-4CB3-BFBF-5F121BF84839}"/>
              </c:ext>
            </c:extLst>
          </c:dPt>
          <c:errBars>
            <c:errBarType val="both"/>
            <c:errValType val="cust"/>
            <c:noEndCap val="0"/>
            <c:plus>
              <c:numRef>
                <c:f>'TOTAL DEVELOPMENT'!$AN$1:$AN$4</c:f>
                <c:numCache>
                  <c:formatCode>General</c:formatCode>
                  <c:ptCount val="4"/>
                  <c:pt idx="0">
                    <c:v>0.74855232182687115</c:v>
                  </c:pt>
                  <c:pt idx="1">
                    <c:v>0.46261771638703114</c:v>
                  </c:pt>
                  <c:pt idx="2">
                    <c:v>0.28867513459481287</c:v>
                  </c:pt>
                  <c:pt idx="3">
                    <c:v>0.60459102129481146</c:v>
                  </c:pt>
                </c:numCache>
              </c:numRef>
            </c:plus>
            <c:minus>
              <c:numRef>
                <c:f>'TOTAL DEVELOPMENT'!$AN$1:$AN$4</c:f>
                <c:numCache>
                  <c:formatCode>General</c:formatCode>
                  <c:ptCount val="4"/>
                  <c:pt idx="0">
                    <c:v>0.74855232182687115</c:v>
                  </c:pt>
                  <c:pt idx="1">
                    <c:v>0.46261771638703114</c:v>
                  </c:pt>
                  <c:pt idx="2">
                    <c:v>0.28867513459481287</c:v>
                  </c:pt>
                  <c:pt idx="3">
                    <c:v>0.60459102129481146</c:v>
                  </c:pt>
                </c:numCache>
              </c:numRef>
            </c:minus>
            <c:spPr>
              <a:noFill/>
              <a:ln w="9525" cap="flat" cmpd="sng" algn="ctr">
                <a:solidFill>
                  <a:schemeClr val="tx1">
                    <a:lumMod val="65000"/>
                    <a:lumOff val="35000"/>
                  </a:schemeClr>
                </a:solidFill>
                <a:round/>
              </a:ln>
              <a:effectLst/>
            </c:spPr>
          </c:errBars>
          <c:cat>
            <c:strRef>
              <c:f>'TOTAL DEVELOPMENT'!$AL$1:$AL$4</c:f>
              <c:strCache>
                <c:ptCount val="4"/>
                <c:pt idx="0">
                  <c:v>trehalose</c:v>
                </c:pt>
                <c:pt idx="1">
                  <c:v>systemin</c:v>
                </c:pt>
                <c:pt idx="2">
                  <c:v>QS69</c:v>
                </c:pt>
                <c:pt idx="3">
                  <c:v>Control</c:v>
                </c:pt>
              </c:strCache>
            </c:strRef>
          </c:cat>
          <c:val>
            <c:numRef>
              <c:f>'TOTAL DEVELOPMENT'!$AM$1:$AM$4</c:f>
              <c:numCache>
                <c:formatCode>0.00</c:formatCode>
                <c:ptCount val="4"/>
                <c:pt idx="0">
                  <c:v>23.181818181818183</c:v>
                </c:pt>
                <c:pt idx="1">
                  <c:v>23.25</c:v>
                </c:pt>
                <c:pt idx="2">
                  <c:v>23</c:v>
                </c:pt>
                <c:pt idx="3">
                  <c:v>22.75</c:v>
                </c:pt>
              </c:numCache>
            </c:numRef>
          </c:val>
          <c:extLst>
            <c:ext xmlns:c16="http://schemas.microsoft.com/office/drawing/2014/chart" uri="{C3380CC4-5D6E-409C-BE32-E72D297353CC}">
              <c16:uniqueId val="{00000002-AB58-4CB3-BFBF-5F121BF84839}"/>
            </c:ext>
          </c:extLst>
        </c:ser>
        <c:dLbls>
          <c:showLegendKey val="0"/>
          <c:showVal val="0"/>
          <c:showCatName val="0"/>
          <c:showSerName val="0"/>
          <c:showPercent val="0"/>
          <c:showBubbleSize val="0"/>
        </c:dLbls>
        <c:gapWidth val="219"/>
        <c:overlap val="-27"/>
        <c:axId val="2038225712"/>
        <c:axId val="2039556480"/>
      </c:barChart>
      <c:catAx>
        <c:axId val="2038225712"/>
        <c:scaling>
          <c:orientation val="minMax"/>
        </c:scaling>
        <c:delete val="0"/>
        <c:axPos val="b"/>
        <c:numFmt formatCode="General" sourceLinked="1"/>
        <c:majorTickMark val="none"/>
        <c:minorTickMark val="none"/>
        <c:tickLblPos val="nextTo"/>
        <c:spPr>
          <a:noFill/>
          <a:ln w="12700" cap="flat" cmpd="sng" algn="ctr">
            <a:solidFill>
              <a:schemeClr val="dk1"/>
            </a:solidFill>
            <a:prstDash val="solid"/>
            <a:miter lim="800000"/>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39556480"/>
        <c:crosses val="autoZero"/>
        <c:auto val="1"/>
        <c:lblAlgn val="ctr"/>
        <c:lblOffset val="100"/>
        <c:noMultiLvlLbl val="0"/>
      </c:catAx>
      <c:valAx>
        <c:axId val="2039556480"/>
        <c:scaling>
          <c:orientation val="minMax"/>
          <c:max val="30"/>
          <c:min val="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Developmental time (days)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12700" cap="flat" cmpd="sng" algn="ctr">
            <a:solidFill>
              <a:schemeClr val="dk1"/>
            </a:solidFill>
            <a:prstDash val="solid"/>
            <a:miter lim="800000"/>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38225712"/>
        <c:crosses val="autoZero"/>
        <c:crossBetween val="between"/>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8C6BA06F-E65A-4795-AAD2-4A7F09C07C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3058</Words>
  <Characters>17434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Giorgos Broufas</cp:lastModifiedBy>
  <cp:revision>4</cp:revision>
  <dcterms:created xsi:type="dcterms:W3CDTF">2025-12-28T22:59:00Z</dcterms:created>
  <dcterms:modified xsi:type="dcterms:W3CDTF">2025-12-28T23:18:00Z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y fmtid="{D5CDD505-2E9C-101B-9397-08002B2CF9AE}" pid="7" name="GrammarlyDocumentId">
    <vt:lpwstr>742bbfae-7eda-44f0-ab81-4d1a37182851</vt:lpwstr>
  </property>
</Properties>
</file>